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985" w:rsidRDefault="00C154A0">
      <w:pPr>
        <w:pStyle w:val="ae"/>
        <w:spacing w:afterLines="50" w:after="120"/>
        <w:textAlignment w:val="center"/>
        <w:rPr>
          <w:rFonts w:eastAsia="宋体" w:cs="Arial"/>
          <w:bCs/>
          <w:i/>
          <w:sz w:val="24"/>
          <w:lang w:eastAsia="zh-CN"/>
        </w:rPr>
      </w:pPr>
      <w:bookmarkStart w:id="0" w:name="OLE_LINK9"/>
      <w:bookmarkStart w:id="1" w:name="OLE_LINK34"/>
      <w:bookmarkStart w:id="2" w:name="OLE_LINK33"/>
      <w:bookmarkStart w:id="3" w:name="OLE_LINK13"/>
      <w:bookmarkStart w:id="4" w:name="OLE_LINK12"/>
      <w:r>
        <w:rPr>
          <w:rFonts w:eastAsia="宋体" w:cs="Arial"/>
          <w:bCs/>
          <w:sz w:val="24"/>
          <w:lang w:eastAsia="zh-CN"/>
        </w:rPr>
        <w:t>3GPP TSG-RAN WG2 Meeting #1</w:t>
      </w:r>
      <w:r>
        <w:rPr>
          <w:rFonts w:eastAsia="宋体" w:cs="Arial" w:hint="eastAsia"/>
          <w:bCs/>
          <w:sz w:val="24"/>
          <w:lang w:eastAsia="zh-CN"/>
        </w:rPr>
        <w:t>17</w:t>
      </w:r>
      <w:r>
        <w:rPr>
          <w:rFonts w:eastAsia="宋体" w:cs="Arial"/>
          <w:bCs/>
          <w:sz w:val="24"/>
          <w:lang w:eastAsia="zh-CN"/>
        </w:rPr>
        <w:t xml:space="preserve"> </w:t>
      </w:r>
      <w:r>
        <w:rPr>
          <w:rFonts w:eastAsia="宋体" w:cs="Arial" w:hint="eastAsia"/>
          <w:bCs/>
          <w:sz w:val="24"/>
          <w:lang w:eastAsia="zh-CN"/>
        </w:rPr>
        <w:t xml:space="preserve">e-meeting   </w:t>
      </w:r>
      <w:r>
        <w:rPr>
          <w:rFonts w:eastAsia="宋体" w:cs="Arial"/>
          <w:bCs/>
          <w:sz w:val="24"/>
          <w:lang w:eastAsia="zh-CN"/>
        </w:rPr>
        <w:t xml:space="preserve">             </w:t>
      </w:r>
      <w:r w:rsidR="00884B35">
        <w:rPr>
          <w:rFonts w:eastAsia="宋体" w:cs="Arial"/>
          <w:bCs/>
          <w:sz w:val="24"/>
          <w:lang w:eastAsia="zh-CN"/>
        </w:rPr>
        <w:t xml:space="preserve">  </w:t>
      </w:r>
      <w:r>
        <w:rPr>
          <w:rFonts w:eastAsia="宋体" w:cs="Arial"/>
          <w:bCs/>
          <w:sz w:val="24"/>
          <w:lang w:eastAsia="zh-CN"/>
        </w:rPr>
        <w:t xml:space="preserve">     </w:t>
      </w:r>
      <w:r w:rsidR="004C2D9F">
        <w:rPr>
          <w:rFonts w:eastAsia="宋体" w:cs="Arial"/>
          <w:bCs/>
          <w:sz w:val="24"/>
          <w:lang w:eastAsia="zh-CN"/>
        </w:rPr>
        <w:t xml:space="preserve"> </w:t>
      </w:r>
      <w:r>
        <w:rPr>
          <w:rFonts w:eastAsia="宋体" w:cs="Arial"/>
          <w:bCs/>
          <w:sz w:val="24"/>
          <w:lang w:eastAsia="zh-CN"/>
        </w:rPr>
        <w:t xml:space="preserve">     </w:t>
      </w:r>
      <w:r w:rsidR="00ED7A48" w:rsidRPr="00ED7A48">
        <w:rPr>
          <w:rFonts w:eastAsia="宋体"/>
          <w:i/>
          <w:sz w:val="24"/>
          <w:szCs w:val="22"/>
          <w:lang w:eastAsia="zh-CN"/>
        </w:rPr>
        <w:t>R2-2202750</w:t>
      </w:r>
    </w:p>
    <w:p w:rsidR="003D1985" w:rsidRDefault="00C154A0">
      <w:pPr>
        <w:pStyle w:val="ae"/>
        <w:spacing w:afterLines="50" w:after="120"/>
        <w:textAlignment w:val="center"/>
        <w:rPr>
          <w:rFonts w:eastAsia="宋体" w:cs="Arial"/>
          <w:bCs/>
          <w:sz w:val="24"/>
          <w:lang w:eastAsia="zh-CN"/>
        </w:rPr>
      </w:pPr>
      <w:r>
        <w:rPr>
          <w:rFonts w:eastAsia="宋体" w:cs="Arial"/>
          <w:bCs/>
          <w:sz w:val="24"/>
          <w:lang w:eastAsia="zh-CN"/>
        </w:rPr>
        <w:t>Online,</w:t>
      </w:r>
      <w:bookmarkStart w:id="5" w:name="OLE_LINK47"/>
      <w:r>
        <w:rPr>
          <w:rFonts w:eastAsia="宋体" w:cs="Arial" w:hint="eastAsia"/>
          <w:bCs/>
          <w:sz w:val="24"/>
          <w:lang w:eastAsia="zh-CN"/>
        </w:rPr>
        <w:t xml:space="preserve"> </w:t>
      </w:r>
      <w:bookmarkEnd w:id="5"/>
      <w:r>
        <w:rPr>
          <w:rFonts w:eastAsia="宋体"/>
          <w:sz w:val="24"/>
          <w:szCs w:val="28"/>
          <w:lang w:eastAsia="zh-CN"/>
        </w:rPr>
        <w:t>Feb 21</w:t>
      </w:r>
      <w:r>
        <w:rPr>
          <w:rFonts w:eastAsia="宋体" w:hint="eastAsia"/>
          <w:sz w:val="24"/>
          <w:szCs w:val="28"/>
          <w:lang w:eastAsia="zh-CN"/>
        </w:rPr>
        <w:t>th</w:t>
      </w:r>
      <w:r>
        <w:rPr>
          <w:rFonts w:eastAsia="宋体"/>
          <w:sz w:val="24"/>
          <w:szCs w:val="28"/>
          <w:lang w:eastAsia="zh-CN"/>
        </w:rPr>
        <w:t xml:space="preserve"> – March 3</w:t>
      </w:r>
      <w:r>
        <w:rPr>
          <w:rFonts w:eastAsia="宋体" w:hint="eastAsia"/>
          <w:sz w:val="24"/>
          <w:szCs w:val="28"/>
          <w:lang w:eastAsia="zh-CN"/>
        </w:rPr>
        <w:t>rd</w:t>
      </w:r>
      <w:r>
        <w:rPr>
          <w:rFonts w:eastAsia="宋体"/>
          <w:sz w:val="24"/>
          <w:szCs w:val="28"/>
          <w:lang w:eastAsia="zh-CN"/>
        </w:rPr>
        <w:t>, 2022</w:t>
      </w:r>
      <w:r>
        <w:rPr>
          <w:rFonts w:eastAsia="宋体" w:cs="Arial"/>
          <w:bCs/>
          <w:i/>
          <w:sz w:val="24"/>
          <w:lang w:eastAsia="zh-CN"/>
        </w:rPr>
        <w:t xml:space="preserve"> </w:t>
      </w:r>
    </w:p>
    <w:bookmarkEnd w:id="0"/>
    <w:p w:rsidR="003D1985" w:rsidRDefault="00C154A0">
      <w:pPr>
        <w:pStyle w:val="ae"/>
        <w:tabs>
          <w:tab w:val="clear" w:pos="4536"/>
        </w:tabs>
        <w:spacing w:beforeLines="150" w:before="36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China Southern Power Grid</w:t>
      </w:r>
      <w:r>
        <w:rPr>
          <w:rFonts w:eastAsia="宋体" w:hint="eastAsia"/>
          <w:sz w:val="24"/>
          <w:szCs w:val="22"/>
          <w:lang w:eastAsia="zh-CN"/>
        </w:rPr>
        <w:t xml:space="preserve"> Co., Ltd</w:t>
      </w:r>
    </w:p>
    <w:p w:rsidR="003D1985" w:rsidRDefault="00C154A0">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6" w:name="OLE_LINK19"/>
      <w:r>
        <w:rPr>
          <w:rFonts w:eastAsia="宋体" w:hint="eastAsia"/>
          <w:sz w:val="24"/>
          <w:szCs w:val="22"/>
          <w:lang w:eastAsia="zh-CN"/>
        </w:rPr>
        <w:t xml:space="preserve">   </w:t>
      </w:r>
      <w:bookmarkEnd w:id="6"/>
      <w:r>
        <w:rPr>
          <w:rFonts w:eastAsia="宋体"/>
          <w:sz w:val="24"/>
          <w:szCs w:val="22"/>
          <w:lang w:eastAsia="zh-CN"/>
        </w:rPr>
        <w:t xml:space="preserve">        </w:t>
      </w:r>
      <w:r w:rsidR="00ED7A48" w:rsidRPr="00ED7A48">
        <w:rPr>
          <w:rFonts w:eastAsia="宋体"/>
          <w:sz w:val="24"/>
          <w:szCs w:val="22"/>
          <w:lang w:eastAsia="zh-CN"/>
        </w:rPr>
        <w:t>Remaining issues of time synchronization</w:t>
      </w:r>
    </w:p>
    <w:p w:rsidR="003D1985" w:rsidRDefault="00C154A0">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8.5.2</w:t>
      </w:r>
    </w:p>
    <w:p w:rsidR="003D1985" w:rsidRDefault="00C154A0">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3D1985" w:rsidRDefault="003D1985">
      <w:pPr>
        <w:pBdr>
          <w:bottom w:val="single" w:sz="4" w:space="1" w:color="auto"/>
        </w:pBdr>
        <w:tabs>
          <w:tab w:val="left" w:pos="2552"/>
        </w:tabs>
        <w:spacing w:after="0" w:line="60" w:lineRule="exact"/>
        <w:textAlignment w:val="center"/>
        <w:rPr>
          <w:rFonts w:eastAsia="宋体"/>
          <w:sz w:val="24"/>
        </w:rPr>
      </w:pPr>
    </w:p>
    <w:p w:rsidR="003D1985" w:rsidRDefault="00C154A0">
      <w:pPr>
        <w:pStyle w:val="1"/>
        <w:numPr>
          <w:ilvl w:val="0"/>
          <w:numId w:val="7"/>
        </w:numPr>
        <w:rPr>
          <w:lang w:val="en-US"/>
        </w:rPr>
      </w:pPr>
      <w:r>
        <w:rPr>
          <w:lang w:val="en-US"/>
        </w:rPr>
        <w:t>Background</w:t>
      </w:r>
    </w:p>
    <w:p w:rsidR="003D1985" w:rsidRDefault="00C154A0">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D1985">
        <w:tc>
          <w:tcPr>
            <w:tcW w:w="10065" w:type="dxa"/>
          </w:tcPr>
          <w:p w:rsidR="003D1985" w:rsidRDefault="00C154A0">
            <w:pPr>
              <w:spacing w:after="0"/>
              <w:ind w:left="360"/>
              <w:jc w:val="both"/>
              <w:textAlignment w:val="center"/>
              <w:rPr>
                <w:rFonts w:eastAsia="宋体"/>
                <w:bCs/>
                <w:i/>
                <w:sz w:val="20"/>
                <w:szCs w:val="20"/>
              </w:rPr>
            </w:pPr>
            <w:bookmarkStart w:id="7" w:name="OLE_LINK7"/>
            <w:r>
              <w:rPr>
                <w:rFonts w:eastAsia="宋体"/>
                <w:bCs/>
                <w:i/>
                <w:sz w:val="20"/>
                <w:szCs w:val="20"/>
              </w:rPr>
              <w:t>...</w:t>
            </w:r>
          </w:p>
          <w:p w:rsidR="003D1985" w:rsidRDefault="00C154A0">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rsidR="003D1985" w:rsidRDefault="00C154A0">
            <w:pPr>
              <w:pStyle w:val="af9"/>
              <w:numPr>
                <w:ilvl w:val="0"/>
                <w:numId w:val="8"/>
              </w:numPr>
              <w:spacing w:after="0"/>
              <w:ind w:left="1100" w:firstLineChars="0"/>
              <w:jc w:val="both"/>
              <w:textAlignment w:val="center"/>
              <w:rPr>
                <w:rFonts w:eastAsia="宋体"/>
                <w:bCs/>
                <w:i/>
                <w:sz w:val="20"/>
                <w:szCs w:val="20"/>
              </w:rPr>
            </w:pPr>
            <w:r>
              <w:rPr>
                <w:rFonts w:eastAsia="宋体"/>
                <w:bCs/>
                <w:i/>
                <w:sz w:val="20"/>
                <w:szCs w:val="20"/>
              </w:rPr>
              <w:t>RAN impacts of SA2 work on uplink time synchronization for TSN, if any. [RAN2]</w:t>
            </w:r>
          </w:p>
          <w:p w:rsidR="003D1985" w:rsidRDefault="00C154A0">
            <w:pPr>
              <w:pStyle w:val="af9"/>
              <w:numPr>
                <w:ilvl w:val="0"/>
                <w:numId w:val="8"/>
              </w:numPr>
              <w:spacing w:after="0"/>
              <w:ind w:left="1100" w:firstLineChars="0"/>
              <w:jc w:val="both"/>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rsidR="003D1985" w:rsidRDefault="00C154A0">
      <w:pPr>
        <w:spacing w:beforeLines="50" w:before="120" w:after="100"/>
        <w:jc w:val="both"/>
        <w:rPr>
          <w:rFonts w:eastAsia="宋体"/>
          <w:sz w:val="20"/>
          <w:szCs w:val="20"/>
        </w:rPr>
      </w:pPr>
      <w:r>
        <w:rPr>
          <w:rFonts w:eastAsia="宋体" w:hint="eastAsia"/>
          <w:sz w:val="20"/>
          <w:szCs w:val="20"/>
        </w:rPr>
        <w:t>In</w:t>
      </w:r>
      <w:r>
        <w:rPr>
          <w:rFonts w:eastAsia="宋体"/>
          <w:sz w:val="20"/>
          <w:szCs w:val="20"/>
        </w:rPr>
        <w:t xml:space="preserve"> </w:t>
      </w:r>
      <w:r>
        <w:rPr>
          <w:rFonts w:eastAsia="宋体" w:hint="eastAsia"/>
          <w:sz w:val="20"/>
          <w:szCs w:val="20"/>
        </w:rPr>
        <w:t>RAN2#116e</w:t>
      </w:r>
      <w:r>
        <w:rPr>
          <w:rFonts w:eastAsia="宋体"/>
          <w:sz w:val="20"/>
          <w:szCs w:val="20"/>
        </w:rPr>
        <w:t xml:space="preserve"> </w:t>
      </w:r>
      <w:r>
        <w:rPr>
          <w:rFonts w:eastAsia="宋体" w:hint="eastAsia"/>
          <w:sz w:val="20"/>
          <w:szCs w:val="20"/>
        </w:rPr>
        <w:t>meeting,</w:t>
      </w:r>
      <w:r>
        <w:rPr>
          <w:rFonts w:eastAsia="宋体"/>
          <w:sz w:val="20"/>
          <w:szCs w:val="20"/>
        </w:rPr>
        <w:t xml:space="preserve"> </w:t>
      </w:r>
      <w:r>
        <w:rPr>
          <w:rFonts w:eastAsia="宋体" w:hint="eastAsia"/>
          <w:sz w:val="20"/>
          <w:szCs w:val="20"/>
        </w:rPr>
        <w:t xml:space="preserve">the </w:t>
      </w:r>
      <w:r>
        <w:rPr>
          <w:sz w:val="20"/>
          <w:szCs w:val="20"/>
          <w:lang w:val="en-GB"/>
        </w:rPr>
        <w:t>following</w:t>
      </w:r>
      <w:r>
        <w:rPr>
          <w:rFonts w:eastAsia="宋体" w:hint="eastAsia"/>
          <w:sz w:val="20"/>
          <w:szCs w:val="20"/>
        </w:rPr>
        <w:t xml:space="preserve"> </w:t>
      </w:r>
      <w:r>
        <w:rPr>
          <w:sz w:val="20"/>
          <w:szCs w:val="20"/>
          <w:lang w:val="en-GB"/>
        </w:rPr>
        <w:t xml:space="preserve">agreements </w:t>
      </w:r>
      <w:r>
        <w:rPr>
          <w:rFonts w:eastAsia="宋体" w:hint="eastAsia"/>
          <w:sz w:val="20"/>
          <w:szCs w:val="20"/>
        </w:rPr>
        <w:t>on reference timing</w:t>
      </w:r>
      <w:r>
        <w:rPr>
          <w:sz w:val="20"/>
          <w:szCs w:val="20"/>
        </w:rPr>
        <w:t xml:space="preserve"> deliv</w:t>
      </w:r>
      <w:r>
        <w:rPr>
          <w:rFonts w:eastAsia="宋体" w:hint="eastAsia"/>
          <w:sz w:val="20"/>
          <w:szCs w:val="20"/>
        </w:rPr>
        <w:t xml:space="preserve">ery </w:t>
      </w:r>
      <w:r>
        <w:rPr>
          <w:rFonts w:eastAsia="宋体" w:hint="eastAsia"/>
          <w:sz w:val="20"/>
          <w:szCs w:val="20"/>
          <w:lang w:val="en-GB"/>
        </w:rPr>
        <w:t>have been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3D1985">
        <w:tc>
          <w:tcPr>
            <w:tcW w:w="10078" w:type="dxa"/>
          </w:tcPr>
          <w:p w:rsidR="003D1985" w:rsidRDefault="00C154A0">
            <w:pPr>
              <w:numPr>
                <w:ilvl w:val="0"/>
                <w:numId w:val="9"/>
              </w:numPr>
              <w:tabs>
                <w:tab w:val="left" w:pos="0"/>
                <w:tab w:val="left" w:pos="1619"/>
              </w:tabs>
              <w:overflowPunct w:val="0"/>
              <w:autoSpaceDE w:val="0"/>
              <w:autoSpaceDN w:val="0"/>
              <w:adjustRightInd w:val="0"/>
              <w:spacing w:before="60" w:after="60" w:line="264" w:lineRule="auto"/>
              <w:textAlignment w:val="baseline"/>
              <w:rPr>
                <w:rFonts w:eastAsia="Times New Roman"/>
                <w:bCs/>
                <w:i/>
                <w:iCs/>
                <w:sz w:val="20"/>
                <w:szCs w:val="20"/>
                <w:lang w:val="en-GB" w:eastAsia="ja-JP"/>
              </w:rPr>
            </w:pPr>
            <w:r>
              <w:rPr>
                <w:rFonts w:eastAsia="Times New Roman" w:hint="eastAsia"/>
                <w:bCs/>
                <w:i/>
                <w:iCs/>
                <w:sz w:val="20"/>
                <w:szCs w:val="20"/>
                <w:lang w:val="en-GB" w:eastAsia="ja-JP"/>
              </w:rPr>
              <w:t xml:space="preserve">The gNB can enable/disable UE-side PDC via unicast and broadcast RRC signalling.  </w:t>
            </w:r>
          </w:p>
          <w:p w:rsidR="003D1985" w:rsidRDefault="00C154A0">
            <w:pPr>
              <w:numPr>
                <w:ilvl w:val="0"/>
                <w:numId w:val="9"/>
              </w:numPr>
              <w:tabs>
                <w:tab w:val="left" w:pos="0"/>
                <w:tab w:val="left" w:pos="1619"/>
              </w:tabs>
              <w:overflowPunct w:val="0"/>
              <w:autoSpaceDE w:val="0"/>
              <w:autoSpaceDN w:val="0"/>
              <w:adjustRightInd w:val="0"/>
              <w:spacing w:before="60" w:after="60" w:line="264" w:lineRule="auto"/>
              <w:textAlignment w:val="baseline"/>
              <w:rPr>
                <w:rFonts w:eastAsia="Times New Roman"/>
                <w:bCs/>
                <w:i/>
                <w:iCs/>
                <w:sz w:val="20"/>
                <w:szCs w:val="20"/>
                <w:lang w:val="en-GB" w:eastAsia="ja-JP"/>
              </w:rPr>
            </w:pPr>
            <w:r>
              <w:rPr>
                <w:rFonts w:eastAsia="Times New Roman" w:hint="eastAsia"/>
                <w:bCs/>
                <w:i/>
                <w:iCs/>
                <w:sz w:val="20"/>
                <w:szCs w:val="20"/>
                <w:lang w:val="en-GB" w:eastAsia="ja-JP"/>
              </w:rPr>
              <w:t>A new RRC parameter can be introduced to explicitly enable/disable UE-side PDC</w:t>
            </w:r>
          </w:p>
          <w:p w:rsidR="003D1985" w:rsidRDefault="00C154A0">
            <w:pPr>
              <w:numPr>
                <w:ilvl w:val="0"/>
                <w:numId w:val="9"/>
              </w:numPr>
              <w:tabs>
                <w:tab w:val="left" w:pos="0"/>
                <w:tab w:val="left" w:pos="1619"/>
              </w:tabs>
              <w:overflowPunct w:val="0"/>
              <w:autoSpaceDE w:val="0"/>
              <w:autoSpaceDN w:val="0"/>
              <w:adjustRightInd w:val="0"/>
              <w:spacing w:before="60" w:after="60" w:line="264" w:lineRule="auto"/>
              <w:textAlignment w:val="baseline"/>
              <w:rPr>
                <w:rFonts w:eastAsia="Times New Roman"/>
                <w:bCs/>
                <w:i/>
                <w:iCs/>
                <w:sz w:val="20"/>
                <w:szCs w:val="20"/>
                <w:lang w:val="en-GB" w:eastAsia="ja-JP"/>
              </w:rPr>
            </w:pPr>
            <w:r>
              <w:rPr>
                <w:rFonts w:eastAsia="Times New Roman" w:hint="eastAsia"/>
                <w:bCs/>
                <w:i/>
                <w:iCs/>
                <w:sz w:val="20"/>
                <w:szCs w:val="20"/>
                <w:lang w:val="en-GB" w:eastAsia="ja-JP"/>
              </w:rPr>
              <w:t>When reference time information is received in both the DLInformationTransfer message and the SIB9, the UE applies the reference time info in the DLInformationTransfer message.  The UE will follow dedicated signaling if timing reference is received in both unicast and broadcast</w:t>
            </w:r>
          </w:p>
          <w:p w:rsidR="003D1985" w:rsidRDefault="00C154A0">
            <w:pPr>
              <w:numPr>
                <w:ilvl w:val="0"/>
                <w:numId w:val="9"/>
              </w:numPr>
              <w:tabs>
                <w:tab w:val="left" w:pos="0"/>
                <w:tab w:val="left" w:pos="1619"/>
              </w:tabs>
              <w:overflowPunct w:val="0"/>
              <w:autoSpaceDE w:val="0"/>
              <w:autoSpaceDN w:val="0"/>
              <w:adjustRightInd w:val="0"/>
              <w:spacing w:before="60" w:after="60" w:line="264" w:lineRule="auto"/>
              <w:textAlignment w:val="baseline"/>
              <w:rPr>
                <w:lang w:val="en-GB"/>
              </w:rPr>
            </w:pPr>
            <w:r>
              <w:rPr>
                <w:rFonts w:eastAsia="Times New Roman" w:hint="eastAsia"/>
                <w:bCs/>
                <w:i/>
                <w:iCs/>
                <w:sz w:val="20"/>
                <w:szCs w:val="20"/>
                <w:lang w:val="en-GB" w:eastAsia="ja-JP"/>
              </w:rPr>
              <w:t>The timing synchronization in I-IoT should focus on the signaling between the UE and gNB, i.e. different from Multi-RTT based signalling flow which involving LMF and AMF</w:t>
            </w:r>
          </w:p>
        </w:tc>
      </w:tr>
    </w:tbl>
    <w:p w:rsidR="003D1985" w:rsidRDefault="00C154A0">
      <w:pPr>
        <w:spacing w:beforeLines="50" w:before="120" w:after="100"/>
        <w:rPr>
          <w:sz w:val="20"/>
          <w:szCs w:val="20"/>
          <w:lang w:val="en-GB"/>
        </w:rPr>
      </w:pPr>
      <w:r>
        <w:rPr>
          <w:rFonts w:eastAsia="宋体" w:hint="eastAsia"/>
          <w:sz w:val="20"/>
          <w:szCs w:val="20"/>
        </w:rPr>
        <w:t>In RAN2#116bis-e</w:t>
      </w:r>
      <w:r>
        <w:rPr>
          <w:rFonts w:eastAsia="宋体"/>
          <w:sz w:val="20"/>
          <w:szCs w:val="20"/>
        </w:rPr>
        <w:t xml:space="preserve"> </w:t>
      </w:r>
      <w:r>
        <w:rPr>
          <w:rFonts w:eastAsia="宋体" w:hint="eastAsia"/>
          <w:sz w:val="20"/>
          <w:szCs w:val="20"/>
        </w:rPr>
        <w:t>meeting</w:t>
      </w:r>
      <w:r>
        <w:rPr>
          <w:rFonts w:eastAsia="宋体"/>
          <w:sz w:val="20"/>
          <w:szCs w:val="20"/>
        </w:rPr>
        <w:t>,</w:t>
      </w:r>
      <w:r>
        <w:rPr>
          <w:rFonts w:eastAsia="宋体" w:hint="eastAsia"/>
          <w:sz w:val="20"/>
          <w:szCs w:val="20"/>
        </w:rPr>
        <w:t xml:space="preserve"> </w:t>
      </w:r>
      <w:r>
        <w:rPr>
          <w:sz w:val="20"/>
          <w:szCs w:val="20"/>
          <w:lang w:val="en-GB"/>
        </w:rPr>
        <w:t xml:space="preserve">the following </w:t>
      </w:r>
      <w:r>
        <w:rPr>
          <w:rFonts w:eastAsia="宋体" w:hint="eastAsia"/>
          <w:sz w:val="20"/>
          <w:szCs w:val="20"/>
        </w:rPr>
        <w:t xml:space="preserve">assumptions and </w:t>
      </w:r>
      <w:r>
        <w:rPr>
          <w:sz w:val="20"/>
          <w:szCs w:val="20"/>
          <w:lang w:val="en-GB"/>
        </w:rPr>
        <w:t>agreements have been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3D1985">
        <w:trPr>
          <w:trHeight w:val="3209"/>
        </w:trPr>
        <w:tc>
          <w:tcPr>
            <w:tcW w:w="10078" w:type="dxa"/>
          </w:tcPr>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Both RTT-based PDC and legacy TA-based PDC are supported.</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 xml:space="preserve">Both RTT-based UE side PDC and RTT-based gNB side PDC are supported.  RRT-based gNB side PDC has to be a simple solution and converge by February meeting.  </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A single pair of TRS/PRS and SRS is configured via RRC signaling for RTT-based PDC.</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For RTT-based UE side PDC, gNB Rx-Tx time difference, e.g., gNB Rx-Tx, shall be provided to UE via DLInformationTransfer signaling.</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No need to introduce additional activation for RTT measurement in UE side.</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For RTT-based gNB side PDC, RRC measurement framework can be reused as baseline to provide UE Rx-Tx time difference report.</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For RTT-based gNB side PDC, besides UE Rx-Tx time difference, no additional information needs to be reported to NW.</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The signaling flow(s) of RTT-based PDC can be captured in stage-2 specification (taking the examples in [R2-2200991] or [R2-2201016] as baseline). The details can be further fine-tuned based on RAN2 agreements during stage-2 running CR review.</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FFS an explicit indication to only activate UE side TA-based PDC is introduced in SIB or in unicast signalling and what is indicated</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lastRenderedPageBreak/>
              <w:t>FFS For TA-based PDC, it</w:t>
            </w:r>
            <w:r>
              <w:rPr>
                <w:rFonts w:eastAsia="宋体" w:hint="eastAsia"/>
                <w:i/>
                <w:sz w:val="20"/>
                <w:szCs w:val="20"/>
                <w:lang w:eastAsia="ja-JP"/>
              </w:rPr>
              <w:t>’</w:t>
            </w:r>
            <w:r>
              <w:rPr>
                <w:rFonts w:eastAsia="宋体" w:hint="eastAsia"/>
                <w:i/>
                <w:sz w:val="20"/>
                <w:szCs w:val="20"/>
                <w:lang w:eastAsia="ja-JP"/>
              </w:rPr>
              <w:t>s no need to specify PD calculation related contents in RAN2.</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Network configuration should guarantee that RTT-based PDC and TA-based PDC are not activated simultaneously for a UE.</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RAN2 confirms to introduce separate R17 UE capabilities for RTT-based PDC and legacy TA-based PDC, as defined by RAN1 feature list.</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 xml:space="preserve">RAN2 confirm the agreement in last meeting that reference time provided in dedicated signaling takes priority.  FFS UE behavior when it receives reference time info via dedicated signaling.  </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RAN2 send a LS to RAN3 to inform the RAN2 progress about RTT-based PDC and TA-based PDC till the end of RAN2#116bis e-meeting.  Email discussion [508]</w:t>
            </w:r>
          </w:p>
          <w:p w:rsidR="003D1985" w:rsidRDefault="00C154A0">
            <w:pPr>
              <w:numPr>
                <w:ilvl w:val="0"/>
                <w:numId w:val="9"/>
              </w:numPr>
              <w:tabs>
                <w:tab w:val="left" w:pos="0"/>
                <w:tab w:val="left" w:pos="1619"/>
              </w:tabs>
              <w:overflowPunct w:val="0"/>
              <w:autoSpaceDE w:val="0"/>
              <w:autoSpaceDN w:val="0"/>
              <w:adjustRightInd w:val="0"/>
              <w:spacing w:before="60" w:after="60" w:line="240" w:lineRule="auto"/>
              <w:textAlignment w:val="baseline"/>
              <w:rPr>
                <w:lang w:val="en-GB"/>
              </w:rPr>
            </w:pPr>
            <w:r>
              <w:rPr>
                <w:rFonts w:eastAsia="宋体" w:hint="eastAsia"/>
                <w:i/>
                <w:sz w:val="20"/>
                <w:szCs w:val="20"/>
                <w:lang w:eastAsia="ja-JP"/>
              </w:rPr>
              <w:t>It</w:t>
            </w:r>
            <w:r>
              <w:rPr>
                <w:rFonts w:eastAsia="宋体" w:hint="eastAsia"/>
                <w:i/>
                <w:sz w:val="20"/>
                <w:szCs w:val="20"/>
                <w:lang w:eastAsia="ja-JP"/>
              </w:rPr>
              <w:t>’</w:t>
            </w:r>
            <w:r>
              <w:rPr>
                <w:rFonts w:eastAsia="宋体" w:hint="eastAsia"/>
                <w:i/>
                <w:sz w:val="20"/>
                <w:szCs w:val="20"/>
                <w:lang w:eastAsia="ja-JP"/>
              </w:rPr>
              <w:t>s no need to specify solution for the issue of mismatch between propagation delay value and reference time information.</w:t>
            </w:r>
          </w:p>
        </w:tc>
      </w:tr>
    </w:tbl>
    <w:p w:rsidR="003D1985" w:rsidRDefault="00C76BF6" w:rsidP="00C76BF6">
      <w:pPr>
        <w:spacing w:beforeLines="50" w:before="120"/>
        <w:jc w:val="both"/>
        <w:textAlignment w:val="center"/>
        <w:rPr>
          <w:sz w:val="20"/>
          <w:szCs w:val="20"/>
        </w:rPr>
      </w:pPr>
      <w:r w:rsidRPr="00C76BF6">
        <w:rPr>
          <w:sz w:val="20"/>
          <w:szCs w:val="20"/>
        </w:rPr>
        <w:lastRenderedPageBreak/>
        <w:t>In “</w:t>
      </w:r>
      <w:r w:rsidRPr="00C76BF6">
        <w:rPr>
          <w:i/>
          <w:sz w:val="20"/>
          <w:szCs w:val="20"/>
        </w:rPr>
        <w:t>[POST116bis-e][513][IIoT] CP open issues (Ericsson)</w:t>
      </w:r>
      <w:r w:rsidRPr="00C76BF6">
        <w:rPr>
          <w:sz w:val="20"/>
          <w:szCs w:val="20"/>
        </w:rPr>
        <w:t>” discussion, some open issues of control plane</w:t>
      </w:r>
      <w:r>
        <w:rPr>
          <w:rFonts w:eastAsiaTheme="minorEastAsia" w:hint="eastAsia"/>
          <w:sz w:val="20"/>
          <w:szCs w:val="20"/>
        </w:rPr>
        <w:t>,</w:t>
      </w:r>
      <w:r>
        <w:rPr>
          <w:rFonts w:eastAsiaTheme="minorEastAsia"/>
          <w:sz w:val="20"/>
          <w:szCs w:val="20"/>
        </w:rPr>
        <w:t xml:space="preserve"> especially the issues </w:t>
      </w:r>
      <w:r w:rsidRPr="00C76BF6">
        <w:rPr>
          <w:rFonts w:eastAsiaTheme="minorEastAsia"/>
          <w:sz w:val="20"/>
          <w:szCs w:val="20"/>
        </w:rPr>
        <w:t xml:space="preserve">related </w:t>
      </w:r>
      <w:r>
        <w:rPr>
          <w:rFonts w:eastAsiaTheme="minorEastAsia"/>
          <w:sz w:val="20"/>
          <w:szCs w:val="20"/>
        </w:rPr>
        <w:t xml:space="preserve">to </w:t>
      </w:r>
      <w:r w:rsidRPr="00C76BF6">
        <w:rPr>
          <w:rFonts w:eastAsiaTheme="minorEastAsia"/>
          <w:sz w:val="20"/>
          <w:szCs w:val="20"/>
        </w:rPr>
        <w:t xml:space="preserve">PDC for </w:t>
      </w:r>
      <w:r w:rsidRPr="00C76BF6">
        <w:rPr>
          <w:rFonts w:eastAsia="宋体"/>
          <w:sz w:val="20"/>
          <w:szCs w:val="20"/>
        </w:rPr>
        <w:t>time synchronization</w:t>
      </w:r>
      <w:r w:rsidRPr="00C76BF6">
        <w:rPr>
          <w:sz w:val="20"/>
          <w:szCs w:val="20"/>
        </w:rPr>
        <w:t xml:space="preserve"> have been discussion. </w:t>
      </w:r>
      <w:r w:rsidR="00C154A0" w:rsidRPr="00C76BF6">
        <w:rPr>
          <w:sz w:val="20"/>
          <w:szCs w:val="20"/>
        </w:rPr>
        <w:t>In this contribution, we will discuss</w:t>
      </w:r>
      <w:r w:rsidR="00D05881">
        <w:rPr>
          <w:sz w:val="20"/>
          <w:szCs w:val="20"/>
        </w:rPr>
        <w:t xml:space="preserve"> a</w:t>
      </w:r>
      <w:r w:rsidR="00C154A0" w:rsidRPr="00C76BF6">
        <w:rPr>
          <w:sz w:val="20"/>
          <w:szCs w:val="20"/>
        </w:rPr>
        <w:t xml:space="preserve"> </w:t>
      </w:r>
      <w:r w:rsidR="006B5217" w:rsidRPr="00C76BF6">
        <w:rPr>
          <w:sz w:val="20"/>
          <w:szCs w:val="20"/>
        </w:rPr>
        <w:t>remaining</w:t>
      </w:r>
      <w:r w:rsidR="006B5217">
        <w:rPr>
          <w:sz w:val="20"/>
          <w:szCs w:val="20"/>
        </w:rPr>
        <w:t xml:space="preserve"> issue of </w:t>
      </w:r>
      <w:r w:rsidR="00C154A0">
        <w:rPr>
          <w:sz w:val="20"/>
          <w:szCs w:val="20"/>
        </w:rPr>
        <w:t>PDC</w:t>
      </w:r>
      <w:r w:rsidR="006B5217">
        <w:rPr>
          <w:sz w:val="20"/>
          <w:szCs w:val="20"/>
        </w:rPr>
        <w:t xml:space="preserve"> for </w:t>
      </w:r>
      <w:r w:rsidR="006B5217" w:rsidRPr="006B5217">
        <w:rPr>
          <w:sz w:val="20"/>
          <w:szCs w:val="20"/>
        </w:rPr>
        <w:t>time synchronization</w:t>
      </w:r>
      <w:r>
        <w:rPr>
          <w:sz w:val="20"/>
          <w:szCs w:val="20"/>
        </w:rPr>
        <w:t xml:space="preserve"> that </w:t>
      </w:r>
      <w:r w:rsidR="00D05881">
        <w:rPr>
          <w:sz w:val="20"/>
          <w:szCs w:val="20"/>
        </w:rPr>
        <w:t xml:space="preserve">is </w:t>
      </w:r>
      <w:r>
        <w:rPr>
          <w:sz w:val="20"/>
          <w:szCs w:val="20"/>
        </w:rPr>
        <w:t xml:space="preserve">still </w:t>
      </w:r>
      <w:r w:rsidRPr="00C76BF6">
        <w:rPr>
          <w:sz w:val="20"/>
          <w:szCs w:val="20"/>
        </w:rPr>
        <w:t>controversial</w:t>
      </w:r>
      <w:r>
        <w:rPr>
          <w:sz w:val="20"/>
          <w:szCs w:val="20"/>
        </w:rPr>
        <w:t>. Some proposals are further given</w:t>
      </w:r>
      <w:r w:rsidR="00C154A0">
        <w:rPr>
          <w:sz w:val="20"/>
          <w:szCs w:val="20"/>
        </w:rPr>
        <w:t>.</w:t>
      </w:r>
      <w:bookmarkEnd w:id="7"/>
    </w:p>
    <w:p w:rsidR="003D1985" w:rsidRDefault="00C154A0">
      <w:pPr>
        <w:pStyle w:val="1"/>
        <w:numPr>
          <w:ilvl w:val="0"/>
          <w:numId w:val="7"/>
        </w:numPr>
        <w:spacing w:afterLines="50" w:after="120" w:line="360" w:lineRule="auto"/>
        <w:rPr>
          <w:sz w:val="32"/>
          <w:szCs w:val="32"/>
          <w:lang w:val="en-US"/>
        </w:rPr>
      </w:pPr>
      <w:r>
        <w:rPr>
          <w:sz w:val="32"/>
          <w:szCs w:val="32"/>
          <w:lang w:val="en-US"/>
        </w:rPr>
        <w:t>Discussion</w:t>
      </w:r>
    </w:p>
    <w:p w:rsidR="003D1985" w:rsidRDefault="00C154A0" w:rsidP="006B5217">
      <w:pPr>
        <w:pStyle w:val="3"/>
        <w:numPr>
          <w:ilvl w:val="0"/>
          <w:numId w:val="10"/>
        </w:numPr>
        <w:snapToGrid w:val="0"/>
        <w:spacing w:before="0" w:after="0" w:line="360" w:lineRule="auto"/>
        <w:ind w:left="0" w:firstLine="0"/>
        <w:rPr>
          <w:rFonts w:ascii="Times New Roman" w:eastAsia="Batang" w:hAnsi="Times New Roman"/>
          <w:sz w:val="24"/>
          <w:szCs w:val="24"/>
          <w:lang w:val="en-US"/>
        </w:rPr>
      </w:pPr>
      <w:bookmarkStart w:id="8" w:name="OLE_LINK44"/>
      <w:bookmarkStart w:id="9" w:name="OLE_LINK43"/>
      <w:bookmarkStart w:id="10" w:name="OLE_LINK14"/>
      <w:bookmarkStart w:id="11" w:name="OLE_LINK21"/>
      <w:bookmarkEnd w:id="3"/>
      <w:bookmarkEnd w:id="4"/>
      <w:r>
        <w:rPr>
          <w:rFonts w:ascii="Times New Roman" w:eastAsia="Batang" w:hAnsi="Times New Roman" w:hint="eastAsia"/>
          <w:sz w:val="24"/>
          <w:szCs w:val="24"/>
          <w:lang w:val="en-US"/>
        </w:rPr>
        <w:t>RTT-based</w:t>
      </w:r>
      <w:r>
        <w:rPr>
          <w:rFonts w:ascii="Times New Roman" w:eastAsia="Batang" w:hAnsi="Times New Roman"/>
          <w:sz w:val="24"/>
          <w:szCs w:val="24"/>
          <w:lang w:val="en-US"/>
        </w:rPr>
        <w:t xml:space="preserve"> </w:t>
      </w:r>
      <w:r>
        <w:rPr>
          <w:rFonts w:ascii="Times New Roman" w:eastAsia="Batang" w:hAnsi="Times New Roman" w:hint="eastAsia"/>
          <w:sz w:val="24"/>
          <w:szCs w:val="24"/>
          <w:lang w:val="en-US"/>
        </w:rPr>
        <w:t>gNB</w:t>
      </w:r>
      <w:r>
        <w:rPr>
          <w:rFonts w:ascii="Times New Roman" w:eastAsia="Batang" w:hAnsi="Times New Roman"/>
          <w:sz w:val="24"/>
          <w:szCs w:val="24"/>
          <w:lang w:val="en-US"/>
        </w:rPr>
        <w:t xml:space="preserve"> </w:t>
      </w:r>
      <w:r>
        <w:rPr>
          <w:rFonts w:ascii="Times New Roman" w:eastAsia="Batang" w:hAnsi="Times New Roman" w:hint="eastAsia"/>
          <w:sz w:val="24"/>
          <w:szCs w:val="24"/>
          <w:lang w:val="en-US"/>
        </w:rPr>
        <w:t>side</w:t>
      </w:r>
      <w:r>
        <w:rPr>
          <w:rFonts w:ascii="Times New Roman" w:eastAsia="Batang" w:hAnsi="Times New Roman"/>
          <w:sz w:val="24"/>
          <w:szCs w:val="24"/>
          <w:lang w:val="en-US"/>
        </w:rPr>
        <w:t xml:space="preserve"> </w:t>
      </w:r>
      <w:r>
        <w:rPr>
          <w:rFonts w:ascii="Times New Roman" w:eastAsia="Batang" w:hAnsi="Times New Roman" w:hint="eastAsia"/>
          <w:sz w:val="24"/>
          <w:szCs w:val="24"/>
          <w:lang w:val="en-US"/>
        </w:rPr>
        <w:t>PDC</w:t>
      </w:r>
    </w:p>
    <w:p w:rsidR="00C76BF6" w:rsidRDefault="00C76BF6" w:rsidP="006B5217">
      <w:pPr>
        <w:spacing w:after="100"/>
        <w:jc w:val="both"/>
        <w:textAlignment w:val="center"/>
        <w:rPr>
          <w:sz w:val="20"/>
          <w:szCs w:val="20"/>
        </w:rPr>
      </w:pPr>
      <w:r>
        <w:rPr>
          <w:sz w:val="20"/>
          <w:szCs w:val="20"/>
        </w:rPr>
        <w:t xml:space="preserve">One of the open issues for </w:t>
      </w:r>
      <w:r w:rsidRPr="00C76BF6">
        <w:rPr>
          <w:sz w:val="20"/>
          <w:szCs w:val="20"/>
        </w:rPr>
        <w:t xml:space="preserve">RTT-based gNB side PDC </w:t>
      </w:r>
      <w:r>
        <w:rPr>
          <w:sz w:val="20"/>
          <w:szCs w:val="20"/>
        </w:rPr>
        <w:t>is how to trigger UE to report UE’s RTT measurement. The following option 3a) and 3b) have been discussed. See the following example procedure in Figure 1 for reference:</w:t>
      </w:r>
    </w:p>
    <w:p w:rsidR="00C76BF6" w:rsidRDefault="00C76BF6" w:rsidP="00C76BF6">
      <w:pPr>
        <w:pStyle w:val="af9"/>
        <w:numPr>
          <w:ilvl w:val="0"/>
          <w:numId w:val="11"/>
        </w:numPr>
        <w:spacing w:beforeLines="50" w:before="120" w:after="100"/>
        <w:ind w:firstLineChars="0"/>
        <w:jc w:val="both"/>
        <w:textAlignment w:val="center"/>
        <w:rPr>
          <w:sz w:val="20"/>
          <w:szCs w:val="20"/>
        </w:rPr>
      </w:pPr>
      <w:r>
        <w:rPr>
          <w:b/>
          <w:bCs/>
          <w:sz w:val="20"/>
          <w:szCs w:val="20"/>
        </w:rPr>
        <w:t>Alt1:</w:t>
      </w:r>
      <w:r>
        <w:rPr>
          <w:sz w:val="20"/>
          <w:szCs w:val="20"/>
        </w:rPr>
        <w:t xml:space="preserve"> An explicit indication is sent from gNB to UE to trigger one-shot UE Rx-Tx time difference report. </w:t>
      </w:r>
    </w:p>
    <w:p w:rsidR="00C76BF6" w:rsidRDefault="00C76BF6" w:rsidP="00C76BF6">
      <w:pPr>
        <w:pStyle w:val="af9"/>
        <w:numPr>
          <w:ilvl w:val="0"/>
          <w:numId w:val="11"/>
        </w:numPr>
        <w:spacing w:beforeLines="50" w:before="120" w:after="100"/>
        <w:ind w:firstLineChars="0"/>
        <w:jc w:val="both"/>
        <w:textAlignment w:val="center"/>
        <w:rPr>
          <w:sz w:val="20"/>
          <w:szCs w:val="20"/>
        </w:rPr>
      </w:pPr>
      <w:r>
        <w:rPr>
          <w:b/>
          <w:bCs/>
          <w:sz w:val="20"/>
          <w:szCs w:val="20"/>
        </w:rPr>
        <w:t>Alt2:</w:t>
      </w:r>
      <w:r>
        <w:rPr>
          <w:sz w:val="20"/>
          <w:szCs w:val="20"/>
        </w:rPr>
        <w:t xml:space="preserve"> Event-triggered report of UE Rx-Tx time difference. If the difference between the current measurement value and the previous reported measurement value is larger than a configurable threshold.</w:t>
      </w:r>
    </w:p>
    <w:p w:rsidR="003D1985" w:rsidRDefault="00C154A0">
      <w:pPr>
        <w:spacing w:beforeLines="50" w:before="120" w:after="100"/>
        <w:jc w:val="center"/>
        <w:textAlignment w:val="center"/>
        <w:rPr>
          <w:sz w:val="20"/>
          <w:szCs w:val="20"/>
        </w:rPr>
      </w:pPr>
      <w:r>
        <w:rPr>
          <w:rFonts w:eastAsia="Arial Unicode MS"/>
          <w:noProof/>
          <w:sz w:val="20"/>
          <w:szCs w:val="20"/>
        </w:rPr>
        <w:drawing>
          <wp:inline distT="0" distB="0" distL="114300" distR="114300">
            <wp:extent cx="3213735" cy="3291840"/>
            <wp:effectExtent l="0" t="0" r="5715" b="3810"/>
            <wp:docPr id="6" name="图片 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
                    <pic:cNvPicPr>
                      <a:picLocks noChangeAspect="1"/>
                    </pic:cNvPicPr>
                  </pic:nvPicPr>
                  <pic:blipFill>
                    <a:blip r:embed="rId8"/>
                    <a:stretch>
                      <a:fillRect/>
                    </a:stretch>
                  </pic:blipFill>
                  <pic:spPr>
                    <a:xfrm>
                      <a:off x="0" y="0"/>
                      <a:ext cx="3213735" cy="3291840"/>
                    </a:xfrm>
                    <a:prstGeom prst="rect">
                      <a:avLst/>
                    </a:prstGeom>
                  </pic:spPr>
                </pic:pic>
              </a:graphicData>
            </a:graphic>
          </wp:inline>
        </w:drawing>
      </w:r>
    </w:p>
    <w:p w:rsidR="003D1985" w:rsidRDefault="00C154A0">
      <w:pPr>
        <w:spacing w:beforeLines="50" w:before="120" w:after="100"/>
        <w:jc w:val="center"/>
        <w:textAlignment w:val="center"/>
        <w:rPr>
          <w:sz w:val="20"/>
          <w:szCs w:val="20"/>
        </w:rPr>
      </w:pPr>
      <w:r>
        <w:rPr>
          <w:sz w:val="20"/>
          <w:szCs w:val="20"/>
        </w:rPr>
        <w:t>Figure 1. gNB-based PDC</w:t>
      </w:r>
    </w:p>
    <w:p w:rsidR="003D1985" w:rsidRDefault="00C154A0" w:rsidP="00C76BF6">
      <w:pPr>
        <w:pStyle w:val="af9"/>
        <w:numPr>
          <w:ilvl w:val="3"/>
          <w:numId w:val="17"/>
        </w:numPr>
        <w:spacing w:afterLines="20" w:after="48" w:line="240" w:lineRule="auto"/>
        <w:ind w:left="420" w:firstLineChars="0"/>
        <w:jc w:val="both"/>
        <w:textAlignment w:val="center"/>
        <w:rPr>
          <w:sz w:val="20"/>
          <w:szCs w:val="20"/>
          <w:lang w:val="en-GB"/>
        </w:rPr>
      </w:pPr>
      <w:r>
        <w:rPr>
          <w:sz w:val="20"/>
          <w:szCs w:val="20"/>
        </w:rPr>
        <w:lastRenderedPageBreak/>
        <w:t>gNB sends relevant configuration (PRS/TRS and SRS) to UE</w:t>
      </w:r>
      <w:r w:rsidR="00C76BF6">
        <w:rPr>
          <w:sz w:val="20"/>
          <w:szCs w:val="20"/>
        </w:rPr>
        <w:t xml:space="preserve"> that can implicitly</w:t>
      </w:r>
      <w:r>
        <w:rPr>
          <w:sz w:val="20"/>
          <w:szCs w:val="20"/>
        </w:rPr>
        <w:t xml:space="preserve"> trigger UE to start UE Rx-Tx time difference </w:t>
      </w:r>
      <w:r>
        <w:rPr>
          <w:sz w:val="20"/>
          <w:szCs w:val="20"/>
          <w:lang w:val="en-GB"/>
        </w:rPr>
        <w:t>measurement.</w:t>
      </w:r>
    </w:p>
    <w:p w:rsidR="00C76BF6" w:rsidRPr="00C76BF6" w:rsidRDefault="00C154A0" w:rsidP="00C76BF6">
      <w:pPr>
        <w:pStyle w:val="af9"/>
        <w:numPr>
          <w:ilvl w:val="3"/>
          <w:numId w:val="17"/>
        </w:numPr>
        <w:spacing w:afterLines="20" w:after="48" w:line="240" w:lineRule="auto"/>
        <w:ind w:left="420" w:firstLineChars="0"/>
        <w:jc w:val="both"/>
        <w:textAlignment w:val="center"/>
        <w:rPr>
          <w:sz w:val="20"/>
          <w:szCs w:val="20"/>
        </w:rPr>
      </w:pPr>
      <w:r>
        <w:rPr>
          <w:sz w:val="20"/>
          <w:szCs w:val="20"/>
          <w:lang w:val="en-GB"/>
        </w:rPr>
        <w:t>UE performs Rx-Tx time difference measurement based on PRS or TRS according to configuration.</w:t>
      </w:r>
    </w:p>
    <w:p w:rsidR="00C76BF6" w:rsidRPr="00C76BF6" w:rsidRDefault="00C76BF6" w:rsidP="00C76BF6">
      <w:pPr>
        <w:pStyle w:val="af9"/>
        <w:numPr>
          <w:ilvl w:val="3"/>
          <w:numId w:val="17"/>
        </w:numPr>
        <w:spacing w:afterLines="20" w:after="48" w:line="240" w:lineRule="auto"/>
        <w:ind w:left="420" w:firstLineChars="0"/>
        <w:jc w:val="both"/>
        <w:textAlignment w:val="center"/>
        <w:rPr>
          <w:sz w:val="20"/>
          <w:szCs w:val="20"/>
        </w:rPr>
      </w:pPr>
    </w:p>
    <w:p w:rsidR="003D1985" w:rsidRDefault="00C154A0" w:rsidP="00C76BF6">
      <w:pPr>
        <w:pStyle w:val="af9"/>
        <w:spacing w:afterLines="20" w:after="48" w:line="240" w:lineRule="auto"/>
        <w:ind w:left="420" w:firstLineChars="0" w:firstLine="0"/>
        <w:jc w:val="both"/>
        <w:textAlignment w:val="center"/>
        <w:rPr>
          <w:sz w:val="20"/>
          <w:szCs w:val="20"/>
        </w:rPr>
      </w:pPr>
      <w:r>
        <w:rPr>
          <w:sz w:val="20"/>
          <w:szCs w:val="20"/>
        </w:rPr>
        <w:t>3a</w:t>
      </w:r>
      <w:r w:rsidR="00C76BF6">
        <w:rPr>
          <w:sz w:val="20"/>
          <w:szCs w:val="20"/>
        </w:rPr>
        <w:t xml:space="preserve"> (Alt1)</w:t>
      </w:r>
      <w:r>
        <w:rPr>
          <w:sz w:val="20"/>
          <w:szCs w:val="20"/>
        </w:rPr>
        <w:t xml:space="preserve">. When UE receives a UE measurement report request from gNB, UE should report the UE Rx-Tx time difference to the gNB. </w:t>
      </w:r>
    </w:p>
    <w:p w:rsidR="003D1985" w:rsidRDefault="00C154A0" w:rsidP="00C76BF6">
      <w:pPr>
        <w:pStyle w:val="af9"/>
        <w:spacing w:afterLines="30" w:after="72" w:line="240" w:lineRule="auto"/>
        <w:ind w:left="420" w:firstLineChars="0" w:firstLine="0"/>
        <w:jc w:val="both"/>
        <w:textAlignment w:val="center"/>
        <w:rPr>
          <w:sz w:val="20"/>
          <w:szCs w:val="20"/>
          <w:lang w:val="en-GB"/>
        </w:rPr>
      </w:pPr>
      <w:r>
        <w:rPr>
          <w:sz w:val="20"/>
          <w:szCs w:val="20"/>
        </w:rPr>
        <w:t>3b</w:t>
      </w:r>
      <w:r w:rsidR="00C76BF6">
        <w:rPr>
          <w:sz w:val="20"/>
          <w:szCs w:val="20"/>
        </w:rPr>
        <w:t xml:space="preserve"> (Alt2)</w:t>
      </w:r>
      <w:r>
        <w:rPr>
          <w:sz w:val="20"/>
          <w:szCs w:val="20"/>
        </w:rPr>
        <w:t xml:space="preserve">. When UE satisfies the condition of event trigger, UE should report the UE Rx-Tx time difference to the gNB. </w:t>
      </w:r>
    </w:p>
    <w:p w:rsidR="003D1985" w:rsidRDefault="00C154A0" w:rsidP="00C76BF6">
      <w:pPr>
        <w:pStyle w:val="af9"/>
        <w:numPr>
          <w:ilvl w:val="3"/>
          <w:numId w:val="17"/>
        </w:numPr>
        <w:spacing w:afterLines="20" w:after="48" w:line="240" w:lineRule="auto"/>
        <w:ind w:left="420" w:firstLineChars="0"/>
        <w:jc w:val="both"/>
        <w:textAlignment w:val="center"/>
        <w:rPr>
          <w:sz w:val="20"/>
          <w:szCs w:val="20"/>
          <w:lang w:val="en-GB"/>
        </w:rPr>
      </w:pPr>
      <w:r>
        <w:rPr>
          <w:sz w:val="20"/>
          <w:szCs w:val="20"/>
          <w:lang w:val="en-GB"/>
        </w:rPr>
        <w:t xml:space="preserve">UE reports measurement results of </w:t>
      </w:r>
      <w:r>
        <w:rPr>
          <w:sz w:val="20"/>
          <w:szCs w:val="20"/>
        </w:rPr>
        <w:t xml:space="preserve">UE </w:t>
      </w:r>
      <w:r>
        <w:rPr>
          <w:sz w:val="20"/>
          <w:szCs w:val="20"/>
          <w:lang w:val="en-GB"/>
        </w:rPr>
        <w:t>Rx-Tx time difference.</w:t>
      </w:r>
    </w:p>
    <w:p w:rsidR="003D1985" w:rsidRDefault="00C154A0" w:rsidP="00C76BF6">
      <w:pPr>
        <w:pStyle w:val="af9"/>
        <w:numPr>
          <w:ilvl w:val="3"/>
          <w:numId w:val="17"/>
        </w:numPr>
        <w:spacing w:afterLines="20" w:after="48" w:line="240" w:lineRule="auto"/>
        <w:ind w:left="420" w:firstLineChars="0"/>
        <w:jc w:val="both"/>
        <w:textAlignment w:val="center"/>
        <w:rPr>
          <w:sz w:val="20"/>
          <w:szCs w:val="20"/>
          <w:lang w:val="en-GB"/>
        </w:rPr>
      </w:pPr>
      <w:r>
        <w:rPr>
          <w:sz w:val="20"/>
          <w:szCs w:val="20"/>
          <w:lang w:val="en-GB"/>
        </w:rPr>
        <w:t>gNB calculates the propagation delay based on UE’s report and its own measurement.</w:t>
      </w:r>
    </w:p>
    <w:p w:rsidR="003D1985" w:rsidRDefault="00C154A0" w:rsidP="00C76BF6">
      <w:pPr>
        <w:pStyle w:val="af9"/>
        <w:numPr>
          <w:ilvl w:val="3"/>
          <w:numId w:val="17"/>
        </w:numPr>
        <w:spacing w:afterLines="20" w:after="48" w:line="240" w:lineRule="auto"/>
        <w:ind w:left="420" w:firstLineChars="0"/>
        <w:jc w:val="both"/>
        <w:textAlignment w:val="center"/>
        <w:rPr>
          <w:sz w:val="20"/>
          <w:szCs w:val="20"/>
        </w:rPr>
      </w:pPr>
      <w:r>
        <w:rPr>
          <w:sz w:val="20"/>
          <w:szCs w:val="20"/>
          <w:lang w:val="en-GB"/>
        </w:rPr>
        <w:t>gNB sends the reference time with pre-compensation of the propagation delay.</w:t>
      </w:r>
    </w:p>
    <w:p w:rsidR="00C76BF6" w:rsidRDefault="00C76BF6">
      <w:pPr>
        <w:spacing w:before="60" w:after="120" w:line="264" w:lineRule="auto"/>
        <w:jc w:val="both"/>
        <w:rPr>
          <w:sz w:val="20"/>
          <w:szCs w:val="20"/>
        </w:rPr>
      </w:pPr>
    </w:p>
    <w:p w:rsidR="003D1985" w:rsidRDefault="00064C32">
      <w:pPr>
        <w:spacing w:before="60" w:after="120" w:line="264" w:lineRule="auto"/>
        <w:jc w:val="both"/>
        <w:rPr>
          <w:sz w:val="20"/>
          <w:szCs w:val="20"/>
        </w:rPr>
      </w:pPr>
      <w:r>
        <w:rPr>
          <w:sz w:val="20"/>
          <w:szCs w:val="20"/>
        </w:rPr>
        <w:t xml:space="preserve">Per our understanding, it’s more suitable to let eNB determine </w:t>
      </w:r>
      <w:r w:rsidR="00C154A0">
        <w:rPr>
          <w:sz w:val="20"/>
          <w:szCs w:val="20"/>
        </w:rPr>
        <w:t>whether the reference time needs to perform PDC</w:t>
      </w:r>
      <w:r>
        <w:rPr>
          <w:sz w:val="20"/>
          <w:szCs w:val="20"/>
        </w:rPr>
        <w:t xml:space="preserve">, e.g., </w:t>
      </w:r>
      <w:r>
        <w:rPr>
          <w:rFonts w:eastAsia="Arial Unicode MS"/>
          <w:sz w:val="20"/>
          <w:szCs w:val="20"/>
        </w:rPr>
        <w:t>due to either clock drift (</w:t>
      </w:r>
      <w:r>
        <w:rPr>
          <w:rFonts w:cs="Arial"/>
          <w:sz w:val="20"/>
          <w:szCs w:val="20"/>
        </w:rPr>
        <w:t>whether there is need to update the time info</w:t>
      </w:r>
      <w:r>
        <w:rPr>
          <w:rFonts w:eastAsia="Arial Unicode MS"/>
          <w:sz w:val="20"/>
          <w:szCs w:val="20"/>
        </w:rPr>
        <w:t>), or UE moving around, or</w:t>
      </w:r>
      <w:r>
        <w:rPr>
          <w:rFonts w:cs="Arial"/>
          <w:sz w:val="20"/>
          <w:szCs w:val="20"/>
        </w:rPr>
        <w:t xml:space="preserve"> UE’s service requirement (whether or not the service needs higher accuracy time </w:t>
      </w:r>
      <w:r>
        <w:rPr>
          <w:rFonts w:cs="Arial" w:hint="eastAsia"/>
          <w:sz w:val="20"/>
          <w:szCs w:val="20"/>
        </w:rPr>
        <w:t>and/or</w:t>
      </w:r>
      <w:r>
        <w:rPr>
          <w:rFonts w:cs="Arial"/>
          <w:sz w:val="20"/>
          <w:szCs w:val="20"/>
        </w:rPr>
        <w:t xml:space="preserve"> </w:t>
      </w:r>
      <w:r>
        <w:rPr>
          <w:rFonts w:cs="Arial" w:hint="eastAsia"/>
          <w:sz w:val="20"/>
          <w:szCs w:val="20"/>
        </w:rPr>
        <w:t>the</w:t>
      </w:r>
      <w:r>
        <w:rPr>
          <w:rFonts w:cs="Arial"/>
          <w:sz w:val="20"/>
          <w:szCs w:val="20"/>
        </w:rPr>
        <w:t xml:space="preserve"> </w:t>
      </w:r>
      <w:r>
        <w:rPr>
          <w:rFonts w:cs="Arial" w:hint="eastAsia"/>
          <w:sz w:val="20"/>
          <w:szCs w:val="20"/>
        </w:rPr>
        <w:t>time</w:t>
      </w:r>
      <w:r>
        <w:rPr>
          <w:rFonts w:cs="Arial"/>
          <w:sz w:val="20"/>
          <w:szCs w:val="20"/>
        </w:rPr>
        <w:t xml:space="preserve"> </w:t>
      </w:r>
      <w:r>
        <w:rPr>
          <w:rFonts w:cs="Arial" w:hint="eastAsia"/>
          <w:sz w:val="20"/>
          <w:szCs w:val="20"/>
        </w:rPr>
        <w:t>budget</w:t>
      </w:r>
      <w:r>
        <w:rPr>
          <w:rFonts w:cs="Arial"/>
          <w:sz w:val="20"/>
          <w:szCs w:val="20"/>
        </w:rPr>
        <w:t xml:space="preserve">) or some other knowledge. When eNB think PDC is necessary, gNB either can activate UE-side PDC (e.g., UE calculate PDC </w:t>
      </w:r>
      <w:r w:rsidR="00F84977">
        <w:rPr>
          <w:rFonts w:cs="Arial"/>
          <w:sz w:val="20"/>
          <w:szCs w:val="20"/>
        </w:rPr>
        <w:t xml:space="preserve">based on RTT </w:t>
      </w:r>
      <w:r>
        <w:rPr>
          <w:rFonts w:cs="Arial"/>
          <w:sz w:val="20"/>
          <w:szCs w:val="20"/>
        </w:rPr>
        <w:t>and apply it to time info in SIB9 or dedicated signaling) or trigger local</w:t>
      </w:r>
      <w:r w:rsidRPr="00064C32">
        <w:rPr>
          <w:rFonts w:cs="Arial"/>
          <w:sz w:val="20"/>
          <w:szCs w:val="20"/>
        </w:rPr>
        <w:t xml:space="preserve"> </w:t>
      </w:r>
      <w:r>
        <w:rPr>
          <w:rFonts w:cs="Arial"/>
          <w:sz w:val="20"/>
          <w:szCs w:val="20"/>
        </w:rPr>
        <w:t xml:space="preserve">gNB-side PDC. If gNB-side PDC is used, gNB can directly </w:t>
      </w:r>
      <w:r>
        <w:rPr>
          <w:sz w:val="20"/>
          <w:szCs w:val="20"/>
          <w:lang w:val="en-GB"/>
        </w:rPr>
        <w:t>sends the reference time with pre-compensation of the propagation delay</w:t>
      </w:r>
      <w:r w:rsidR="00F84977">
        <w:rPr>
          <w:sz w:val="20"/>
          <w:szCs w:val="20"/>
          <w:lang w:val="en-GB"/>
        </w:rPr>
        <w:t>. Then UE is no need to acquire time in SIB9</w:t>
      </w:r>
      <w:r w:rsidR="00F84977">
        <w:rPr>
          <w:rFonts w:cs="Arial"/>
          <w:sz w:val="20"/>
          <w:szCs w:val="20"/>
        </w:rPr>
        <w:t>.</w:t>
      </w:r>
    </w:p>
    <w:p w:rsidR="00F84977" w:rsidRDefault="00064C32">
      <w:pPr>
        <w:spacing w:before="60" w:after="120" w:line="264" w:lineRule="auto"/>
        <w:jc w:val="both"/>
        <w:rPr>
          <w:rFonts w:eastAsiaTheme="minorEastAsia" w:cs="Arial"/>
          <w:sz w:val="20"/>
          <w:szCs w:val="20"/>
        </w:rPr>
      </w:pPr>
      <w:r>
        <w:rPr>
          <w:sz w:val="20"/>
          <w:szCs w:val="20"/>
        </w:rPr>
        <w:t>During the “</w:t>
      </w:r>
      <w:r w:rsidRPr="00C76BF6">
        <w:rPr>
          <w:i/>
          <w:sz w:val="20"/>
          <w:szCs w:val="20"/>
        </w:rPr>
        <w:t>[POST116bis-e][513]</w:t>
      </w:r>
      <w:r>
        <w:rPr>
          <w:sz w:val="20"/>
          <w:szCs w:val="20"/>
        </w:rPr>
        <w:t xml:space="preserve">” discussion, more companies prefer </w:t>
      </w:r>
      <w:r w:rsidRPr="00064C32">
        <w:rPr>
          <w:b/>
          <w:sz w:val="20"/>
          <w:szCs w:val="20"/>
        </w:rPr>
        <w:t>Alt1</w:t>
      </w:r>
      <w:r>
        <w:rPr>
          <w:sz w:val="20"/>
          <w:szCs w:val="20"/>
        </w:rPr>
        <w:t xml:space="preserve">. Per our understanding, one of the </w:t>
      </w:r>
      <w:r>
        <w:rPr>
          <w:rFonts w:eastAsiaTheme="minorEastAsia" w:cs="Arial" w:hint="eastAsia"/>
          <w:sz w:val="20"/>
          <w:szCs w:val="20"/>
        </w:rPr>
        <w:t>main</w:t>
      </w:r>
      <w:r>
        <w:rPr>
          <w:rFonts w:eastAsiaTheme="minorEastAsia" w:cs="Arial"/>
          <w:sz w:val="20"/>
          <w:szCs w:val="20"/>
        </w:rPr>
        <w:t xml:space="preserve"> </w:t>
      </w:r>
      <w:r>
        <w:rPr>
          <w:rFonts w:eastAsiaTheme="minorEastAsia" w:cs="Arial" w:hint="eastAsia"/>
          <w:sz w:val="20"/>
          <w:szCs w:val="20"/>
        </w:rPr>
        <w:t>issue</w:t>
      </w:r>
      <w:r>
        <w:rPr>
          <w:rFonts w:eastAsiaTheme="minorEastAsia" w:cs="Arial"/>
          <w:sz w:val="20"/>
          <w:szCs w:val="20"/>
        </w:rPr>
        <w:t xml:space="preserve"> </w:t>
      </w:r>
      <w:r>
        <w:rPr>
          <w:rFonts w:eastAsiaTheme="minorEastAsia" w:cs="Arial" w:hint="eastAsia"/>
          <w:sz w:val="20"/>
          <w:szCs w:val="20"/>
        </w:rPr>
        <w:t>of</w:t>
      </w:r>
      <w:r>
        <w:rPr>
          <w:rFonts w:eastAsiaTheme="minorEastAsia" w:cs="Arial"/>
          <w:sz w:val="20"/>
          <w:szCs w:val="20"/>
        </w:rPr>
        <w:t xml:space="preserve"> </w:t>
      </w:r>
      <w:r>
        <w:rPr>
          <w:rFonts w:eastAsiaTheme="minorEastAsia" w:cs="Arial"/>
          <w:b/>
          <w:sz w:val="20"/>
          <w:szCs w:val="20"/>
        </w:rPr>
        <w:t>Alt2</w:t>
      </w:r>
      <w:r>
        <w:rPr>
          <w:rFonts w:eastAsiaTheme="minorEastAsia" w:cs="Arial"/>
          <w:sz w:val="20"/>
          <w:szCs w:val="20"/>
        </w:rPr>
        <w:t xml:space="preserve"> is </w:t>
      </w:r>
      <w:r>
        <w:rPr>
          <w:rFonts w:eastAsiaTheme="minorEastAsia" w:cs="Arial" w:hint="eastAsia"/>
          <w:sz w:val="20"/>
          <w:szCs w:val="20"/>
        </w:rPr>
        <w:t>that</w:t>
      </w:r>
      <w:r>
        <w:rPr>
          <w:rFonts w:eastAsiaTheme="minorEastAsia" w:cs="Arial"/>
          <w:sz w:val="20"/>
          <w:szCs w:val="20"/>
        </w:rPr>
        <w:t xml:space="preserve"> </w:t>
      </w:r>
      <w:r>
        <w:rPr>
          <w:rFonts w:eastAsiaTheme="minorEastAsia" w:cs="Arial" w:hint="eastAsia"/>
          <w:sz w:val="20"/>
          <w:szCs w:val="20"/>
        </w:rPr>
        <w:t>the</w:t>
      </w:r>
      <w:r>
        <w:rPr>
          <w:rFonts w:eastAsiaTheme="minorEastAsia" w:cs="Arial"/>
          <w:sz w:val="20"/>
          <w:szCs w:val="20"/>
        </w:rPr>
        <w:t xml:space="preserve"> UE </w:t>
      </w:r>
      <w:r>
        <w:rPr>
          <w:rFonts w:eastAsiaTheme="minorEastAsia" w:cs="Arial" w:hint="eastAsia"/>
          <w:sz w:val="20"/>
          <w:szCs w:val="20"/>
        </w:rPr>
        <w:t>RTT</w:t>
      </w:r>
      <w:r>
        <w:rPr>
          <w:rFonts w:eastAsiaTheme="minorEastAsia" w:cs="Arial"/>
          <w:sz w:val="20"/>
          <w:szCs w:val="20"/>
        </w:rPr>
        <w:t xml:space="preserve"> </w:t>
      </w:r>
      <w:r>
        <w:rPr>
          <w:rFonts w:eastAsiaTheme="minorEastAsia" w:cs="Arial" w:hint="eastAsia"/>
          <w:sz w:val="20"/>
          <w:szCs w:val="20"/>
        </w:rPr>
        <w:t>change</w:t>
      </w:r>
      <w:r>
        <w:rPr>
          <w:rFonts w:eastAsiaTheme="minorEastAsia" w:cs="Arial"/>
          <w:sz w:val="20"/>
          <w:szCs w:val="20"/>
        </w:rPr>
        <w:t xml:space="preserve"> </w:t>
      </w:r>
      <w:r>
        <w:rPr>
          <w:rFonts w:eastAsiaTheme="minorEastAsia" w:cs="Arial" w:hint="eastAsia"/>
          <w:sz w:val="20"/>
          <w:szCs w:val="20"/>
        </w:rPr>
        <w:t>threshold</w:t>
      </w:r>
      <w:r>
        <w:rPr>
          <w:rFonts w:eastAsiaTheme="minorEastAsia" w:cs="Arial"/>
          <w:sz w:val="20"/>
          <w:szCs w:val="20"/>
        </w:rPr>
        <w:t xml:space="preserve"> </w:t>
      </w:r>
      <w:r>
        <w:rPr>
          <w:rFonts w:eastAsiaTheme="minorEastAsia" w:cs="Arial" w:hint="eastAsia"/>
          <w:sz w:val="20"/>
          <w:szCs w:val="20"/>
        </w:rPr>
        <w:t>in</w:t>
      </w:r>
      <w:r>
        <w:rPr>
          <w:rFonts w:eastAsiaTheme="minorEastAsia" w:cs="Arial"/>
          <w:sz w:val="20"/>
          <w:szCs w:val="20"/>
        </w:rPr>
        <w:t xml:space="preserve"> </w:t>
      </w:r>
      <w:r>
        <w:rPr>
          <w:rFonts w:eastAsiaTheme="minorEastAsia" w:cs="Arial" w:hint="eastAsia"/>
          <w:sz w:val="20"/>
          <w:szCs w:val="20"/>
        </w:rPr>
        <w:t>the</w:t>
      </w:r>
      <w:r>
        <w:rPr>
          <w:rFonts w:eastAsiaTheme="minorEastAsia" w:cs="Arial"/>
          <w:sz w:val="20"/>
          <w:szCs w:val="20"/>
        </w:rPr>
        <w:t xml:space="preserve"> </w:t>
      </w:r>
      <w:r>
        <w:rPr>
          <w:rFonts w:eastAsiaTheme="minorEastAsia" w:cs="Arial" w:hint="eastAsia"/>
          <w:sz w:val="20"/>
          <w:szCs w:val="20"/>
        </w:rPr>
        <w:t>event</w:t>
      </w:r>
      <w:r>
        <w:rPr>
          <w:rFonts w:eastAsiaTheme="minorEastAsia" w:cs="Arial"/>
          <w:sz w:val="20"/>
          <w:szCs w:val="20"/>
        </w:rPr>
        <w:t xml:space="preserve"> </w:t>
      </w:r>
      <w:r>
        <w:rPr>
          <w:rFonts w:eastAsiaTheme="minorEastAsia" w:cs="Arial" w:hint="eastAsia"/>
          <w:sz w:val="20"/>
          <w:szCs w:val="20"/>
        </w:rPr>
        <w:t>definition</w:t>
      </w:r>
      <w:r>
        <w:rPr>
          <w:rFonts w:eastAsiaTheme="minorEastAsia" w:cs="Arial"/>
          <w:sz w:val="20"/>
          <w:szCs w:val="20"/>
        </w:rPr>
        <w:t xml:space="preserve"> would </w:t>
      </w:r>
      <w:r>
        <w:rPr>
          <w:rFonts w:eastAsiaTheme="minorEastAsia" w:cs="Arial" w:hint="eastAsia"/>
          <w:sz w:val="20"/>
          <w:szCs w:val="20"/>
        </w:rPr>
        <w:t>inevitably</w:t>
      </w:r>
      <w:r>
        <w:rPr>
          <w:rFonts w:eastAsiaTheme="minorEastAsia" w:cs="Arial"/>
          <w:sz w:val="20"/>
          <w:szCs w:val="20"/>
        </w:rPr>
        <w:t xml:space="preserve"> </w:t>
      </w:r>
      <w:r>
        <w:rPr>
          <w:rFonts w:eastAsiaTheme="minorEastAsia" w:cs="Arial" w:hint="eastAsia"/>
          <w:sz w:val="20"/>
          <w:szCs w:val="20"/>
        </w:rPr>
        <w:t>introduce</w:t>
      </w:r>
      <w:r>
        <w:rPr>
          <w:rFonts w:eastAsiaTheme="minorEastAsia" w:cs="Arial"/>
          <w:sz w:val="20"/>
          <w:szCs w:val="20"/>
        </w:rPr>
        <w:t xml:space="preserve"> additional </w:t>
      </w:r>
      <w:r>
        <w:rPr>
          <w:rFonts w:eastAsiaTheme="minorEastAsia" w:cs="Arial" w:hint="eastAsia"/>
          <w:sz w:val="20"/>
          <w:szCs w:val="20"/>
        </w:rPr>
        <w:t>error</w:t>
      </w:r>
      <w:r>
        <w:rPr>
          <w:rFonts w:eastAsiaTheme="minorEastAsia" w:cs="Arial"/>
          <w:sz w:val="20"/>
          <w:szCs w:val="20"/>
        </w:rPr>
        <w:t xml:space="preserve"> </w:t>
      </w:r>
      <w:r>
        <w:rPr>
          <w:rFonts w:eastAsiaTheme="minorEastAsia" w:cs="Arial" w:hint="eastAsia"/>
          <w:sz w:val="20"/>
          <w:szCs w:val="20"/>
        </w:rPr>
        <w:t>on</w:t>
      </w:r>
      <w:r>
        <w:rPr>
          <w:rFonts w:eastAsiaTheme="minorEastAsia" w:cs="Arial"/>
          <w:sz w:val="20"/>
          <w:szCs w:val="20"/>
        </w:rPr>
        <w:t xml:space="preserve"> </w:t>
      </w:r>
      <w:r>
        <w:rPr>
          <w:rFonts w:eastAsiaTheme="minorEastAsia" w:cs="Arial" w:hint="eastAsia"/>
          <w:sz w:val="20"/>
          <w:szCs w:val="20"/>
        </w:rPr>
        <w:t>the</w:t>
      </w:r>
      <w:r>
        <w:rPr>
          <w:rFonts w:eastAsiaTheme="minorEastAsia" w:cs="Arial"/>
          <w:sz w:val="20"/>
          <w:szCs w:val="20"/>
        </w:rPr>
        <w:t xml:space="preserve"> </w:t>
      </w:r>
      <w:r>
        <w:rPr>
          <w:rFonts w:eastAsiaTheme="minorEastAsia" w:cs="Arial" w:hint="eastAsia"/>
          <w:sz w:val="20"/>
          <w:szCs w:val="20"/>
        </w:rPr>
        <w:t>PDC</w:t>
      </w:r>
      <w:r>
        <w:rPr>
          <w:rFonts w:eastAsiaTheme="minorEastAsia" w:cs="Arial"/>
          <w:sz w:val="20"/>
          <w:szCs w:val="20"/>
        </w:rPr>
        <w:t xml:space="preserve"> </w:t>
      </w:r>
      <w:r>
        <w:rPr>
          <w:rFonts w:eastAsiaTheme="minorEastAsia" w:cs="Arial" w:hint="eastAsia"/>
          <w:sz w:val="20"/>
          <w:szCs w:val="20"/>
        </w:rPr>
        <w:t>calculation</w:t>
      </w:r>
      <w:r>
        <w:rPr>
          <w:rFonts w:eastAsiaTheme="minorEastAsia" w:cs="Arial"/>
          <w:sz w:val="20"/>
          <w:szCs w:val="20"/>
        </w:rPr>
        <w:t xml:space="preserve">. The reason is, when the gNB needs UE side RTT to perform PDC, UE may not have reported the latest value and gNB have to use the previous reported </w:t>
      </w:r>
      <w:r>
        <w:rPr>
          <w:rFonts w:eastAsiaTheme="minorEastAsia" w:cs="Arial" w:hint="eastAsia"/>
          <w:sz w:val="20"/>
          <w:szCs w:val="20"/>
        </w:rPr>
        <w:t>one</w:t>
      </w:r>
      <w:r>
        <w:rPr>
          <w:rFonts w:eastAsiaTheme="minorEastAsia" w:cs="Arial"/>
          <w:sz w:val="20"/>
          <w:szCs w:val="20"/>
        </w:rPr>
        <w:t xml:space="preserve">. The </w:t>
      </w:r>
      <w:r>
        <w:rPr>
          <w:rFonts w:cs="Arial"/>
          <w:bCs/>
          <w:sz w:val="20"/>
          <w:szCs w:val="20"/>
        </w:rPr>
        <w:t xml:space="preserve">difference between the previous reported RTT and the UE current real measurement value is this error. Even this error may be small, e.g., smaller than the threshold, it’s still an error that will affect the final </w:t>
      </w:r>
      <w:r>
        <w:rPr>
          <w:rFonts w:cs="Arial" w:hint="eastAsia"/>
          <w:bCs/>
          <w:sz w:val="20"/>
          <w:szCs w:val="20"/>
        </w:rPr>
        <w:t>time</w:t>
      </w:r>
      <w:r>
        <w:rPr>
          <w:rFonts w:cs="Arial"/>
          <w:bCs/>
          <w:sz w:val="20"/>
          <w:szCs w:val="20"/>
        </w:rPr>
        <w:t xml:space="preserve"> accuracy.</w:t>
      </w:r>
      <w:r>
        <w:rPr>
          <w:rFonts w:eastAsiaTheme="minorEastAsia" w:cs="Arial"/>
          <w:sz w:val="20"/>
          <w:szCs w:val="20"/>
        </w:rPr>
        <w:t xml:space="preserve"> The larger the UE </w:t>
      </w:r>
      <w:r>
        <w:rPr>
          <w:rFonts w:eastAsiaTheme="minorEastAsia" w:cs="Arial" w:hint="eastAsia"/>
          <w:sz w:val="20"/>
          <w:szCs w:val="20"/>
        </w:rPr>
        <w:t>RTT</w:t>
      </w:r>
      <w:r>
        <w:rPr>
          <w:rFonts w:eastAsiaTheme="minorEastAsia" w:cs="Arial"/>
          <w:sz w:val="20"/>
          <w:szCs w:val="20"/>
        </w:rPr>
        <w:t xml:space="preserve"> </w:t>
      </w:r>
      <w:r>
        <w:rPr>
          <w:rFonts w:eastAsiaTheme="minorEastAsia" w:cs="Arial" w:hint="eastAsia"/>
          <w:sz w:val="20"/>
          <w:szCs w:val="20"/>
        </w:rPr>
        <w:t>change</w:t>
      </w:r>
      <w:r>
        <w:rPr>
          <w:rFonts w:eastAsiaTheme="minorEastAsia" w:cs="Arial"/>
          <w:sz w:val="20"/>
          <w:szCs w:val="20"/>
        </w:rPr>
        <w:t xml:space="preserve"> threshold value, the larger the error. </w:t>
      </w:r>
    </w:p>
    <w:p w:rsidR="00064C32" w:rsidRDefault="00F84977">
      <w:pPr>
        <w:spacing w:before="60" w:after="120" w:line="264" w:lineRule="auto"/>
        <w:jc w:val="both"/>
        <w:rPr>
          <w:rFonts w:eastAsiaTheme="minorEastAsia" w:cs="Arial"/>
          <w:sz w:val="20"/>
          <w:szCs w:val="20"/>
        </w:rPr>
      </w:pPr>
      <w:r>
        <w:rPr>
          <w:rFonts w:eastAsiaTheme="minorEastAsia" w:cs="Arial"/>
          <w:sz w:val="20"/>
          <w:szCs w:val="20"/>
        </w:rPr>
        <w:t>Company has indicated that the network can adjust the threshold value based on the needed accuracy level. In the extreme case, the network can configure a threshold of zero and the UE report for every measurement. For this way, it’s obviously the RTT report would be too frequent</w:t>
      </w:r>
      <w:r w:rsidR="00064C32">
        <w:rPr>
          <w:rFonts w:eastAsiaTheme="minorEastAsia" w:cs="Arial"/>
          <w:sz w:val="20"/>
          <w:szCs w:val="20"/>
        </w:rPr>
        <w:t xml:space="preserve"> and some of the reports may not be really needed in gNB.</w:t>
      </w:r>
    </w:p>
    <w:p w:rsidR="00D05881" w:rsidRPr="00D05881" w:rsidRDefault="00D05881">
      <w:pPr>
        <w:spacing w:before="60" w:after="120" w:line="264" w:lineRule="auto"/>
        <w:jc w:val="both"/>
        <w:rPr>
          <w:sz w:val="20"/>
          <w:szCs w:val="20"/>
        </w:rPr>
      </w:pPr>
      <w:r w:rsidRPr="00D05881">
        <w:rPr>
          <w:rFonts w:eastAsiaTheme="minorEastAsia" w:cs="Arial"/>
          <w:sz w:val="20"/>
          <w:szCs w:val="20"/>
        </w:rPr>
        <w:t xml:space="preserve">Therefore, we prefer </w:t>
      </w:r>
      <w:r w:rsidRPr="00D05881">
        <w:rPr>
          <w:rFonts w:eastAsia="Arial Unicode MS"/>
          <w:sz w:val="20"/>
          <w:szCs w:val="20"/>
        </w:rPr>
        <w:t>an explicit request signaling from gNB to trigger UE measurement report containing UE</w:t>
      </w:r>
      <w:r w:rsidRPr="00D05881">
        <w:rPr>
          <w:rFonts w:eastAsia="Arial Unicode MS"/>
          <w:sz w:val="20"/>
          <w:szCs w:val="20"/>
          <w:vertAlign w:val="subscript"/>
        </w:rPr>
        <w:t>Rx-T</w:t>
      </w:r>
      <w:r w:rsidRPr="00D05881">
        <w:rPr>
          <w:rFonts w:eastAsia="Arial Unicode MS"/>
          <w:sz w:val="20"/>
          <w:szCs w:val="20"/>
        </w:rPr>
        <w:t>. Such explicit signaling can be RRC signaling or MAC CE.</w:t>
      </w:r>
    </w:p>
    <w:p w:rsidR="00F84977" w:rsidRDefault="00F84977" w:rsidP="00F84977">
      <w:pPr>
        <w:pStyle w:val="af9"/>
        <w:spacing w:beforeLines="50" w:before="120" w:after="100"/>
        <w:ind w:firstLineChars="0" w:firstLine="0"/>
        <w:jc w:val="both"/>
        <w:textAlignment w:val="center"/>
        <w:rPr>
          <w:rFonts w:eastAsia="Arial Unicode MS"/>
          <w:b/>
          <w:sz w:val="20"/>
          <w:szCs w:val="20"/>
        </w:rPr>
      </w:pPr>
      <w:r>
        <w:rPr>
          <w:rFonts w:eastAsia="Arial Unicode MS" w:hint="eastAsia"/>
          <w:b/>
          <w:sz w:val="20"/>
          <w:szCs w:val="20"/>
        </w:rPr>
        <w:t xml:space="preserve">Observation 1: Reporting UE Rx-Tx time difference based on an event trigger will cause additional error in </w:t>
      </w:r>
      <w:r>
        <w:rPr>
          <w:rFonts w:eastAsia="Arial Unicode MS"/>
          <w:b/>
          <w:sz w:val="20"/>
          <w:szCs w:val="20"/>
        </w:rPr>
        <w:t xml:space="preserve">PDC </w:t>
      </w:r>
      <w:r>
        <w:rPr>
          <w:rFonts w:eastAsia="Arial Unicode MS" w:hint="eastAsia"/>
          <w:b/>
          <w:sz w:val="20"/>
          <w:szCs w:val="20"/>
        </w:rPr>
        <w:t>calcula</w:t>
      </w:r>
      <w:r>
        <w:rPr>
          <w:rFonts w:eastAsia="Arial Unicode MS"/>
          <w:b/>
          <w:sz w:val="20"/>
          <w:szCs w:val="20"/>
        </w:rPr>
        <w:t>tion.</w:t>
      </w:r>
    </w:p>
    <w:p w:rsidR="00D05881" w:rsidRPr="00D05881" w:rsidRDefault="00D05881">
      <w:pPr>
        <w:pStyle w:val="af9"/>
        <w:spacing w:beforeLines="50" w:before="120" w:after="100"/>
        <w:ind w:firstLineChars="0" w:firstLine="0"/>
        <w:jc w:val="both"/>
        <w:textAlignment w:val="center"/>
        <w:rPr>
          <w:rFonts w:eastAsia="Arial Unicode MS"/>
          <w:b/>
          <w:sz w:val="20"/>
          <w:szCs w:val="20"/>
        </w:rPr>
      </w:pPr>
      <w:r>
        <w:rPr>
          <w:rFonts w:eastAsia="Arial Unicode MS"/>
          <w:b/>
          <w:sz w:val="20"/>
          <w:szCs w:val="20"/>
        </w:rPr>
        <w:t xml:space="preserve">Proposal </w:t>
      </w:r>
      <w:r>
        <w:rPr>
          <w:rFonts w:eastAsia="Arial Unicode MS" w:hint="eastAsia"/>
          <w:b/>
          <w:sz w:val="20"/>
          <w:szCs w:val="20"/>
        </w:rPr>
        <w:t>1</w:t>
      </w:r>
      <w:r>
        <w:rPr>
          <w:rFonts w:eastAsia="Arial Unicode MS"/>
          <w:b/>
          <w:sz w:val="20"/>
          <w:szCs w:val="20"/>
        </w:rPr>
        <w:t>: For gNB-based PDC, UE measurement report containing UE</w:t>
      </w:r>
      <w:r>
        <w:rPr>
          <w:rFonts w:eastAsia="Arial Unicode MS"/>
          <w:b/>
          <w:sz w:val="20"/>
          <w:szCs w:val="20"/>
          <w:vertAlign w:val="subscript"/>
        </w:rPr>
        <w:t>Rx-Tx</w:t>
      </w:r>
      <w:r>
        <w:rPr>
          <w:rFonts w:eastAsia="Arial Unicode MS"/>
          <w:b/>
          <w:sz w:val="20"/>
          <w:szCs w:val="20"/>
        </w:rPr>
        <w:t xml:space="preserve"> should be triggered by an explicit request sig</w:t>
      </w:r>
      <w:r w:rsidRPr="00F84977">
        <w:rPr>
          <w:rFonts w:eastAsia="Arial Unicode MS"/>
          <w:b/>
          <w:sz w:val="20"/>
          <w:szCs w:val="20"/>
        </w:rPr>
        <w:t>naling</w:t>
      </w:r>
      <w:r>
        <w:rPr>
          <w:rFonts w:eastAsia="Arial Unicode MS"/>
          <w:b/>
          <w:sz w:val="20"/>
          <w:szCs w:val="20"/>
        </w:rPr>
        <w:t xml:space="preserve"> from gNB. </w:t>
      </w:r>
      <w:r w:rsidRPr="00D05881">
        <w:rPr>
          <w:rFonts w:eastAsia="Arial Unicode MS"/>
          <w:b/>
          <w:sz w:val="20"/>
          <w:szCs w:val="20"/>
        </w:rPr>
        <w:t>Such explicit signaling can be RRC signaling or MAC CE</w:t>
      </w:r>
      <w:r>
        <w:rPr>
          <w:rFonts w:eastAsia="Arial Unicode MS"/>
          <w:b/>
          <w:sz w:val="20"/>
          <w:szCs w:val="20"/>
        </w:rPr>
        <w:t>.</w:t>
      </w:r>
    </w:p>
    <w:p w:rsidR="00F84977" w:rsidRDefault="00F84977">
      <w:pPr>
        <w:pStyle w:val="af9"/>
        <w:spacing w:beforeLines="50" w:before="120" w:after="100"/>
        <w:ind w:firstLineChars="0" w:firstLine="0"/>
        <w:jc w:val="both"/>
        <w:textAlignment w:val="center"/>
        <w:rPr>
          <w:sz w:val="20"/>
          <w:szCs w:val="20"/>
        </w:rPr>
      </w:pPr>
      <w:r>
        <w:rPr>
          <w:rFonts w:eastAsia="Arial Unicode MS"/>
          <w:sz w:val="20"/>
          <w:szCs w:val="20"/>
        </w:rPr>
        <w:t xml:space="preserve">It can be understood that </w:t>
      </w:r>
      <w:r>
        <w:rPr>
          <w:sz w:val="20"/>
          <w:szCs w:val="20"/>
        </w:rPr>
        <w:t xml:space="preserve">explicit indication to trigger one-shot UE RTT measurement report may cause much DL signaling. So some companies prefer </w:t>
      </w:r>
      <w:r>
        <w:rPr>
          <w:rFonts w:eastAsiaTheme="minorEastAsia" w:cs="Arial"/>
          <w:sz w:val="20"/>
          <w:szCs w:val="20"/>
        </w:rPr>
        <w:t>Alt1 with periodic reporting. We think this is al</w:t>
      </w:r>
      <w:r w:rsidRPr="00F84977">
        <w:rPr>
          <w:sz w:val="20"/>
          <w:szCs w:val="20"/>
        </w:rPr>
        <w:t xml:space="preserve">so fine. The gNB can provide the periodicity to UE in either measurement configuration or along with the </w:t>
      </w:r>
      <w:r>
        <w:rPr>
          <w:sz w:val="20"/>
          <w:szCs w:val="20"/>
        </w:rPr>
        <w:t xml:space="preserve">explicit signaling </w:t>
      </w:r>
      <w:r w:rsidRPr="00F84977">
        <w:rPr>
          <w:rFonts w:hint="eastAsia"/>
          <w:sz w:val="20"/>
          <w:szCs w:val="20"/>
        </w:rPr>
        <w:t>for</w:t>
      </w:r>
      <w:r w:rsidRPr="00F84977">
        <w:rPr>
          <w:sz w:val="20"/>
          <w:szCs w:val="20"/>
        </w:rPr>
        <w:t xml:space="preserve"> </w:t>
      </w:r>
      <w:r w:rsidRPr="00F84977">
        <w:rPr>
          <w:rFonts w:hint="eastAsia"/>
          <w:sz w:val="20"/>
          <w:szCs w:val="20"/>
        </w:rPr>
        <w:t>requesting</w:t>
      </w:r>
      <w:r w:rsidRPr="00F84977">
        <w:rPr>
          <w:sz w:val="20"/>
          <w:szCs w:val="20"/>
        </w:rPr>
        <w:t xml:space="preserve"> </w:t>
      </w:r>
      <w:r w:rsidRPr="00F84977">
        <w:rPr>
          <w:rFonts w:hint="eastAsia"/>
          <w:sz w:val="20"/>
          <w:szCs w:val="20"/>
        </w:rPr>
        <w:t>UE</w:t>
      </w:r>
      <w:r w:rsidRPr="00F84977">
        <w:rPr>
          <w:sz w:val="20"/>
          <w:szCs w:val="20"/>
        </w:rPr>
        <w:t xml:space="preserve"> </w:t>
      </w:r>
      <w:r w:rsidRPr="00F84977">
        <w:rPr>
          <w:rFonts w:hint="eastAsia"/>
          <w:sz w:val="20"/>
          <w:szCs w:val="20"/>
        </w:rPr>
        <w:t>RTT</w:t>
      </w:r>
      <w:r w:rsidRPr="00F84977">
        <w:rPr>
          <w:sz w:val="20"/>
          <w:szCs w:val="20"/>
        </w:rPr>
        <w:t xml:space="preserve"> </w:t>
      </w:r>
      <w:r w:rsidRPr="00F84977">
        <w:rPr>
          <w:rFonts w:hint="eastAsia"/>
          <w:sz w:val="20"/>
          <w:szCs w:val="20"/>
        </w:rPr>
        <w:t>report</w:t>
      </w:r>
      <w:r w:rsidRPr="00F84977">
        <w:rPr>
          <w:sz w:val="20"/>
          <w:szCs w:val="20"/>
        </w:rPr>
        <w:t>.</w:t>
      </w:r>
    </w:p>
    <w:p w:rsidR="003D1985" w:rsidRPr="006A53FB" w:rsidRDefault="00F84977">
      <w:pPr>
        <w:pStyle w:val="af9"/>
        <w:spacing w:beforeLines="50" w:before="120" w:after="100"/>
        <w:ind w:firstLineChars="0" w:firstLine="0"/>
        <w:jc w:val="both"/>
        <w:textAlignment w:val="center"/>
        <w:rPr>
          <w:sz w:val="20"/>
          <w:szCs w:val="20"/>
        </w:rPr>
      </w:pPr>
      <w:r w:rsidRPr="006A53FB">
        <w:rPr>
          <w:rFonts w:eastAsia="Arial Unicode MS"/>
          <w:sz w:val="20"/>
          <w:szCs w:val="20"/>
        </w:rPr>
        <w:t>Here we want to indicate that, even UE measurement can be implicitly triggered by provision of measurement configuration, that do</w:t>
      </w:r>
      <w:r w:rsidR="006A53FB" w:rsidRPr="006A53FB">
        <w:rPr>
          <w:rFonts w:eastAsia="Arial Unicode MS"/>
          <w:sz w:val="20"/>
          <w:szCs w:val="20"/>
        </w:rPr>
        <w:t>esn’t means UE also needs to report the RTT as soon as it acquires the measurement result</w:t>
      </w:r>
      <w:r w:rsidR="006A53FB" w:rsidRPr="006A53FB">
        <w:rPr>
          <w:sz w:val="20"/>
          <w:szCs w:val="20"/>
        </w:rPr>
        <w:t xml:space="preserve">. We assume gNB only send the request for UE side RTT report when it determines PDC is needed. Therefore, no matter one-shot report or </w:t>
      </w:r>
      <w:r w:rsidR="006A53FB" w:rsidRPr="006A53FB">
        <w:rPr>
          <w:rFonts w:eastAsia="Arial Unicode MS"/>
          <w:sz w:val="20"/>
          <w:szCs w:val="20"/>
        </w:rPr>
        <w:t>periodical report for UE side RTT, it should be triggered by explicit signaling from gNB.</w:t>
      </w:r>
    </w:p>
    <w:p w:rsidR="003D1985" w:rsidRDefault="00D05881">
      <w:pPr>
        <w:pStyle w:val="af9"/>
        <w:spacing w:beforeLines="50" w:before="120" w:after="100"/>
        <w:ind w:firstLineChars="0" w:firstLine="0"/>
        <w:jc w:val="both"/>
        <w:textAlignment w:val="center"/>
        <w:rPr>
          <w:rFonts w:eastAsia="Arial Unicode MS"/>
          <w:b/>
          <w:sz w:val="20"/>
          <w:szCs w:val="20"/>
        </w:rPr>
      </w:pPr>
      <w:r>
        <w:rPr>
          <w:rFonts w:eastAsia="Arial Unicode MS"/>
          <w:b/>
          <w:sz w:val="20"/>
          <w:szCs w:val="20"/>
        </w:rPr>
        <w:t>Proposal 2: If Proposal 1 is agreed, u</w:t>
      </w:r>
      <w:r w:rsidR="00F84977" w:rsidRPr="00F84977">
        <w:rPr>
          <w:rFonts w:eastAsia="Arial Unicode MS"/>
          <w:b/>
          <w:sz w:val="20"/>
          <w:szCs w:val="20"/>
        </w:rPr>
        <w:t xml:space="preserve">pon reception of </w:t>
      </w:r>
      <w:r>
        <w:rPr>
          <w:rFonts w:eastAsia="Arial Unicode MS"/>
          <w:b/>
          <w:sz w:val="20"/>
          <w:szCs w:val="20"/>
        </w:rPr>
        <w:t xml:space="preserve">the </w:t>
      </w:r>
      <w:r w:rsidRPr="00D05881">
        <w:rPr>
          <w:rFonts w:eastAsia="Arial Unicode MS"/>
          <w:b/>
          <w:sz w:val="20"/>
          <w:szCs w:val="20"/>
        </w:rPr>
        <w:t>explicit signaling</w:t>
      </w:r>
      <w:r w:rsidR="00F84977" w:rsidRPr="00F84977">
        <w:rPr>
          <w:rFonts w:eastAsia="Arial Unicode MS"/>
          <w:b/>
          <w:sz w:val="20"/>
          <w:szCs w:val="20"/>
        </w:rPr>
        <w:t>, UE can report UE</w:t>
      </w:r>
      <w:r w:rsidR="00F84977" w:rsidRPr="00F84977">
        <w:rPr>
          <w:rFonts w:eastAsia="Arial Unicode MS"/>
          <w:b/>
          <w:sz w:val="20"/>
          <w:szCs w:val="20"/>
          <w:vertAlign w:val="subscript"/>
        </w:rPr>
        <w:t>Rx-Tx</w:t>
      </w:r>
      <w:r w:rsidR="00F84977" w:rsidRPr="00F84977">
        <w:rPr>
          <w:rFonts w:eastAsia="Arial Unicode MS"/>
          <w:b/>
          <w:sz w:val="20"/>
          <w:szCs w:val="20"/>
        </w:rPr>
        <w:t xml:space="preserve"> once. If </w:t>
      </w:r>
      <w:r w:rsidR="006A53FB">
        <w:rPr>
          <w:rFonts w:eastAsia="Arial Unicode MS"/>
          <w:b/>
          <w:sz w:val="20"/>
          <w:szCs w:val="20"/>
        </w:rPr>
        <w:t xml:space="preserve">a </w:t>
      </w:r>
      <w:r w:rsidR="00F84977" w:rsidRPr="00F84977">
        <w:rPr>
          <w:b/>
          <w:sz w:val="20"/>
          <w:szCs w:val="20"/>
        </w:rPr>
        <w:t xml:space="preserve">periodicity is </w:t>
      </w:r>
      <w:r w:rsidR="00F84977" w:rsidRPr="00F84977">
        <w:rPr>
          <w:rFonts w:eastAsia="Arial Unicode MS"/>
          <w:b/>
          <w:sz w:val="20"/>
          <w:szCs w:val="20"/>
        </w:rPr>
        <w:t>additional</w:t>
      </w:r>
      <w:r w:rsidR="00F84977">
        <w:rPr>
          <w:b/>
          <w:sz w:val="20"/>
          <w:szCs w:val="20"/>
        </w:rPr>
        <w:t xml:space="preserve">ly </w:t>
      </w:r>
      <w:r w:rsidR="00F84977" w:rsidRPr="00F84977">
        <w:rPr>
          <w:b/>
          <w:sz w:val="20"/>
          <w:szCs w:val="20"/>
        </w:rPr>
        <w:t xml:space="preserve">configured by gNB, UE can </w:t>
      </w:r>
      <w:r w:rsidR="006A53FB" w:rsidRPr="00F84977">
        <w:rPr>
          <w:rFonts w:eastAsia="Arial Unicode MS"/>
          <w:b/>
          <w:sz w:val="20"/>
          <w:szCs w:val="20"/>
        </w:rPr>
        <w:t>report UE</w:t>
      </w:r>
      <w:r w:rsidR="006A53FB" w:rsidRPr="00F84977">
        <w:rPr>
          <w:rFonts w:eastAsia="Arial Unicode MS"/>
          <w:b/>
          <w:sz w:val="20"/>
          <w:szCs w:val="20"/>
          <w:vertAlign w:val="subscript"/>
        </w:rPr>
        <w:t>Rx-Tx</w:t>
      </w:r>
      <w:r w:rsidR="00F84977" w:rsidRPr="00F84977">
        <w:rPr>
          <w:rFonts w:eastAsia="Arial Unicode MS"/>
          <w:b/>
          <w:sz w:val="20"/>
          <w:szCs w:val="20"/>
        </w:rPr>
        <w:t xml:space="preserve"> periodically</w:t>
      </w:r>
      <w:r w:rsidR="006A53FB">
        <w:rPr>
          <w:rFonts w:eastAsia="Arial Unicode MS"/>
          <w:b/>
          <w:sz w:val="20"/>
          <w:szCs w:val="20"/>
        </w:rPr>
        <w:t>.</w:t>
      </w:r>
      <w:r>
        <w:rPr>
          <w:rFonts w:eastAsia="Arial Unicode MS"/>
          <w:b/>
          <w:sz w:val="20"/>
          <w:szCs w:val="20"/>
        </w:rPr>
        <w:t xml:space="preserve"> </w:t>
      </w:r>
    </w:p>
    <w:p w:rsidR="00D05881" w:rsidRPr="00D05881" w:rsidRDefault="00D05881">
      <w:pPr>
        <w:pStyle w:val="af9"/>
        <w:spacing w:beforeLines="50" w:before="120" w:after="100"/>
        <w:ind w:firstLineChars="0" w:firstLine="0"/>
        <w:jc w:val="both"/>
        <w:textAlignment w:val="center"/>
        <w:rPr>
          <w:rFonts w:eastAsiaTheme="minorEastAsia"/>
          <w:b/>
          <w:sz w:val="20"/>
          <w:szCs w:val="20"/>
        </w:rPr>
      </w:pPr>
      <w:r w:rsidRPr="00D05881">
        <w:rPr>
          <w:rFonts w:eastAsia="Arial Unicode MS"/>
          <w:b/>
          <w:sz w:val="20"/>
          <w:szCs w:val="20"/>
        </w:rPr>
        <w:t xml:space="preserve">Proposal 2a: </w:t>
      </w:r>
      <w:r w:rsidR="004C2D9F">
        <w:rPr>
          <w:rFonts w:eastAsia="Arial Unicode MS"/>
          <w:b/>
          <w:sz w:val="20"/>
          <w:szCs w:val="20"/>
        </w:rPr>
        <w:t>T</w:t>
      </w:r>
      <w:r w:rsidRPr="00D05881">
        <w:rPr>
          <w:rFonts w:eastAsia="Arial Unicode MS"/>
          <w:b/>
          <w:sz w:val="20"/>
          <w:szCs w:val="20"/>
        </w:rPr>
        <w:t xml:space="preserve">he </w:t>
      </w:r>
      <w:r w:rsidRPr="00D05881">
        <w:rPr>
          <w:b/>
          <w:sz w:val="20"/>
          <w:szCs w:val="20"/>
        </w:rPr>
        <w:t xml:space="preserve">periodicity for UE RTT report can be provided in either measurement configuration or along with the explicit signaling </w:t>
      </w:r>
      <w:r w:rsidRPr="00D05881">
        <w:rPr>
          <w:rFonts w:hint="eastAsia"/>
          <w:b/>
          <w:sz w:val="20"/>
          <w:szCs w:val="20"/>
        </w:rPr>
        <w:t>for</w:t>
      </w:r>
      <w:r w:rsidRPr="00D05881">
        <w:rPr>
          <w:b/>
          <w:sz w:val="20"/>
          <w:szCs w:val="20"/>
        </w:rPr>
        <w:t xml:space="preserve"> </w:t>
      </w:r>
      <w:r w:rsidRPr="00D05881">
        <w:rPr>
          <w:rFonts w:hint="eastAsia"/>
          <w:b/>
          <w:sz w:val="20"/>
          <w:szCs w:val="20"/>
        </w:rPr>
        <w:t>requesting</w:t>
      </w:r>
      <w:r w:rsidRPr="00D05881">
        <w:rPr>
          <w:b/>
          <w:sz w:val="20"/>
          <w:szCs w:val="20"/>
        </w:rPr>
        <w:t xml:space="preserve"> </w:t>
      </w:r>
      <w:r w:rsidRPr="00D05881">
        <w:rPr>
          <w:rFonts w:hint="eastAsia"/>
          <w:b/>
          <w:sz w:val="20"/>
          <w:szCs w:val="20"/>
        </w:rPr>
        <w:t>UE</w:t>
      </w:r>
      <w:r w:rsidRPr="00D05881">
        <w:rPr>
          <w:b/>
          <w:sz w:val="20"/>
          <w:szCs w:val="20"/>
        </w:rPr>
        <w:t xml:space="preserve"> </w:t>
      </w:r>
      <w:r w:rsidRPr="00D05881">
        <w:rPr>
          <w:rFonts w:hint="eastAsia"/>
          <w:b/>
          <w:sz w:val="20"/>
          <w:szCs w:val="20"/>
        </w:rPr>
        <w:t>RTT</w:t>
      </w:r>
      <w:r w:rsidRPr="00D05881">
        <w:rPr>
          <w:b/>
          <w:sz w:val="20"/>
          <w:szCs w:val="20"/>
        </w:rPr>
        <w:t xml:space="preserve"> </w:t>
      </w:r>
      <w:r w:rsidRPr="00D05881">
        <w:rPr>
          <w:rFonts w:hint="eastAsia"/>
          <w:b/>
          <w:sz w:val="20"/>
          <w:szCs w:val="20"/>
        </w:rPr>
        <w:t>report</w:t>
      </w:r>
      <w:r w:rsidRPr="00D05881">
        <w:rPr>
          <w:b/>
          <w:sz w:val="20"/>
          <w:szCs w:val="20"/>
        </w:rPr>
        <w:t>.</w:t>
      </w:r>
    </w:p>
    <w:p w:rsidR="006B5217" w:rsidRPr="006B5217" w:rsidRDefault="006B5217" w:rsidP="006B5217">
      <w:pPr>
        <w:rPr>
          <w:lang w:val="en-GB" w:eastAsia="sv-SE"/>
        </w:rPr>
      </w:pPr>
    </w:p>
    <w:p w:rsidR="003D1985" w:rsidRDefault="00C154A0">
      <w:pPr>
        <w:pStyle w:val="1"/>
        <w:numPr>
          <w:ilvl w:val="0"/>
          <w:numId w:val="7"/>
        </w:numPr>
        <w:rPr>
          <w:lang w:val="en-US"/>
        </w:rPr>
      </w:pPr>
      <w:bookmarkStart w:id="12" w:name="OLE_LINK1"/>
      <w:bookmarkEnd w:id="8"/>
      <w:bookmarkEnd w:id="9"/>
      <w:bookmarkEnd w:id="10"/>
      <w:bookmarkEnd w:id="11"/>
      <w:r>
        <w:rPr>
          <w:lang w:val="en-US"/>
        </w:rPr>
        <w:lastRenderedPageBreak/>
        <w:t>Conclusions</w:t>
      </w:r>
    </w:p>
    <w:p w:rsidR="003D1985" w:rsidRDefault="00C154A0">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3" w:name="OLE_LINK11"/>
      <w:bookmarkStart w:id="14" w:name="OLE_LINK10"/>
      <w:bookmarkEnd w:id="12"/>
    </w:p>
    <w:p w:rsidR="00D05881" w:rsidRDefault="00D05881" w:rsidP="00D05881">
      <w:pPr>
        <w:pStyle w:val="af9"/>
        <w:spacing w:beforeLines="50" w:before="120" w:after="100"/>
        <w:ind w:firstLineChars="0" w:firstLine="0"/>
        <w:jc w:val="both"/>
        <w:textAlignment w:val="center"/>
        <w:rPr>
          <w:rFonts w:eastAsia="Arial Unicode MS"/>
          <w:b/>
          <w:sz w:val="20"/>
          <w:szCs w:val="20"/>
        </w:rPr>
      </w:pPr>
      <w:r>
        <w:rPr>
          <w:rFonts w:eastAsia="Arial Unicode MS" w:hint="eastAsia"/>
          <w:b/>
          <w:sz w:val="20"/>
          <w:szCs w:val="20"/>
        </w:rPr>
        <w:t xml:space="preserve">Observation 1: Reporting UE Rx-Tx time difference based on an event trigger will cause additional error in </w:t>
      </w:r>
      <w:r>
        <w:rPr>
          <w:rFonts w:eastAsia="Arial Unicode MS"/>
          <w:b/>
          <w:sz w:val="20"/>
          <w:szCs w:val="20"/>
        </w:rPr>
        <w:t xml:space="preserve">PDC </w:t>
      </w:r>
      <w:r>
        <w:rPr>
          <w:rFonts w:eastAsia="Arial Unicode MS" w:hint="eastAsia"/>
          <w:b/>
          <w:sz w:val="20"/>
          <w:szCs w:val="20"/>
        </w:rPr>
        <w:t>calcula</w:t>
      </w:r>
      <w:r>
        <w:rPr>
          <w:rFonts w:eastAsia="Arial Unicode MS"/>
          <w:b/>
          <w:sz w:val="20"/>
          <w:szCs w:val="20"/>
        </w:rPr>
        <w:t>tion.</w:t>
      </w:r>
    </w:p>
    <w:p w:rsidR="00D05881" w:rsidRPr="00D05881" w:rsidRDefault="00D05881" w:rsidP="00D05881">
      <w:pPr>
        <w:pStyle w:val="af9"/>
        <w:spacing w:beforeLines="50" w:before="120" w:after="100"/>
        <w:ind w:firstLineChars="0" w:firstLine="0"/>
        <w:jc w:val="both"/>
        <w:textAlignment w:val="center"/>
        <w:rPr>
          <w:rFonts w:eastAsia="Arial Unicode MS"/>
          <w:b/>
          <w:sz w:val="20"/>
          <w:szCs w:val="20"/>
        </w:rPr>
      </w:pPr>
      <w:r>
        <w:rPr>
          <w:rFonts w:eastAsia="Arial Unicode MS"/>
          <w:b/>
          <w:sz w:val="20"/>
          <w:szCs w:val="20"/>
        </w:rPr>
        <w:t xml:space="preserve">Proposal </w:t>
      </w:r>
      <w:r>
        <w:rPr>
          <w:rFonts w:eastAsia="Arial Unicode MS" w:hint="eastAsia"/>
          <w:b/>
          <w:sz w:val="20"/>
          <w:szCs w:val="20"/>
        </w:rPr>
        <w:t>1</w:t>
      </w:r>
      <w:r>
        <w:rPr>
          <w:rFonts w:eastAsia="Arial Unicode MS"/>
          <w:b/>
          <w:sz w:val="20"/>
          <w:szCs w:val="20"/>
        </w:rPr>
        <w:t>: For gNB-based PDC, UE measurement report containing UE</w:t>
      </w:r>
      <w:r>
        <w:rPr>
          <w:rFonts w:eastAsia="Arial Unicode MS"/>
          <w:b/>
          <w:sz w:val="20"/>
          <w:szCs w:val="20"/>
          <w:vertAlign w:val="subscript"/>
        </w:rPr>
        <w:t>Rx-Tx</w:t>
      </w:r>
      <w:r>
        <w:rPr>
          <w:rFonts w:eastAsia="Arial Unicode MS"/>
          <w:b/>
          <w:sz w:val="20"/>
          <w:szCs w:val="20"/>
        </w:rPr>
        <w:t xml:space="preserve"> should be triggered by an explicit request sig</w:t>
      </w:r>
      <w:r w:rsidRPr="00F84977">
        <w:rPr>
          <w:rFonts w:eastAsia="Arial Unicode MS"/>
          <w:b/>
          <w:sz w:val="20"/>
          <w:szCs w:val="20"/>
        </w:rPr>
        <w:t>naling</w:t>
      </w:r>
      <w:r>
        <w:rPr>
          <w:rFonts w:eastAsia="Arial Unicode MS"/>
          <w:b/>
          <w:sz w:val="20"/>
          <w:szCs w:val="20"/>
        </w:rPr>
        <w:t xml:space="preserve"> from gNB.</w:t>
      </w:r>
      <w:bookmarkStart w:id="15" w:name="_GoBack"/>
      <w:bookmarkEnd w:id="15"/>
      <w:r>
        <w:rPr>
          <w:rFonts w:eastAsia="Arial Unicode MS"/>
          <w:b/>
          <w:sz w:val="20"/>
          <w:szCs w:val="20"/>
        </w:rPr>
        <w:t xml:space="preserve"> </w:t>
      </w:r>
      <w:r w:rsidRPr="00D05881">
        <w:rPr>
          <w:rFonts w:eastAsia="Arial Unicode MS"/>
          <w:b/>
          <w:sz w:val="20"/>
          <w:szCs w:val="20"/>
        </w:rPr>
        <w:t>Such explicit signaling can be RRC signaling or MAC CE</w:t>
      </w:r>
      <w:r>
        <w:rPr>
          <w:rFonts w:eastAsia="Arial Unicode MS"/>
          <w:b/>
          <w:sz w:val="20"/>
          <w:szCs w:val="20"/>
        </w:rPr>
        <w:t>.</w:t>
      </w:r>
    </w:p>
    <w:p w:rsidR="00143F01" w:rsidRDefault="00143F01" w:rsidP="00143F01">
      <w:pPr>
        <w:pStyle w:val="af9"/>
        <w:spacing w:beforeLines="50" w:before="120" w:after="100"/>
        <w:ind w:firstLineChars="0" w:firstLine="0"/>
        <w:jc w:val="both"/>
        <w:textAlignment w:val="center"/>
        <w:rPr>
          <w:rFonts w:eastAsia="Arial Unicode MS"/>
          <w:b/>
          <w:sz w:val="20"/>
          <w:szCs w:val="20"/>
        </w:rPr>
      </w:pPr>
    </w:p>
    <w:p w:rsidR="00143F01" w:rsidRDefault="00143F01" w:rsidP="00143F01">
      <w:pPr>
        <w:pStyle w:val="af9"/>
        <w:spacing w:beforeLines="50" w:before="120" w:after="100"/>
        <w:ind w:firstLineChars="0" w:firstLine="0"/>
        <w:jc w:val="both"/>
        <w:textAlignment w:val="center"/>
        <w:rPr>
          <w:rFonts w:eastAsia="Arial Unicode MS"/>
          <w:b/>
          <w:sz w:val="20"/>
          <w:szCs w:val="20"/>
        </w:rPr>
      </w:pPr>
      <w:r>
        <w:rPr>
          <w:rFonts w:eastAsia="Arial Unicode MS"/>
          <w:b/>
          <w:sz w:val="20"/>
          <w:szCs w:val="20"/>
        </w:rPr>
        <w:t>Proposal 2: If Proposal 1 is agreed, u</w:t>
      </w:r>
      <w:r w:rsidRPr="00F84977">
        <w:rPr>
          <w:rFonts w:eastAsia="Arial Unicode MS"/>
          <w:b/>
          <w:sz w:val="20"/>
          <w:szCs w:val="20"/>
        </w:rPr>
        <w:t xml:space="preserve">pon reception of </w:t>
      </w:r>
      <w:r>
        <w:rPr>
          <w:rFonts w:eastAsia="Arial Unicode MS"/>
          <w:b/>
          <w:sz w:val="20"/>
          <w:szCs w:val="20"/>
        </w:rPr>
        <w:t xml:space="preserve">the </w:t>
      </w:r>
      <w:r w:rsidRPr="00D05881">
        <w:rPr>
          <w:rFonts w:eastAsia="Arial Unicode MS"/>
          <w:b/>
          <w:sz w:val="20"/>
          <w:szCs w:val="20"/>
        </w:rPr>
        <w:t>explicit signaling</w:t>
      </w:r>
      <w:r w:rsidRPr="00F84977">
        <w:rPr>
          <w:rFonts w:eastAsia="Arial Unicode MS"/>
          <w:b/>
          <w:sz w:val="20"/>
          <w:szCs w:val="20"/>
        </w:rPr>
        <w:t>, UE can report UE</w:t>
      </w:r>
      <w:r w:rsidRPr="00F84977">
        <w:rPr>
          <w:rFonts w:eastAsia="Arial Unicode MS"/>
          <w:b/>
          <w:sz w:val="20"/>
          <w:szCs w:val="20"/>
          <w:vertAlign w:val="subscript"/>
        </w:rPr>
        <w:t>Rx-Tx</w:t>
      </w:r>
      <w:r w:rsidRPr="00F84977">
        <w:rPr>
          <w:rFonts w:eastAsia="Arial Unicode MS"/>
          <w:b/>
          <w:sz w:val="20"/>
          <w:szCs w:val="20"/>
        </w:rPr>
        <w:t xml:space="preserve"> once. If </w:t>
      </w:r>
      <w:r>
        <w:rPr>
          <w:rFonts w:eastAsia="Arial Unicode MS"/>
          <w:b/>
          <w:sz w:val="20"/>
          <w:szCs w:val="20"/>
        </w:rPr>
        <w:t xml:space="preserve">a </w:t>
      </w:r>
      <w:r w:rsidRPr="00F84977">
        <w:rPr>
          <w:b/>
          <w:sz w:val="20"/>
          <w:szCs w:val="20"/>
        </w:rPr>
        <w:t xml:space="preserve">periodicity is </w:t>
      </w:r>
      <w:r w:rsidRPr="00F84977">
        <w:rPr>
          <w:rFonts w:eastAsia="Arial Unicode MS"/>
          <w:b/>
          <w:sz w:val="20"/>
          <w:szCs w:val="20"/>
        </w:rPr>
        <w:t>additional</w:t>
      </w:r>
      <w:r>
        <w:rPr>
          <w:b/>
          <w:sz w:val="20"/>
          <w:szCs w:val="20"/>
        </w:rPr>
        <w:t xml:space="preserve">ly </w:t>
      </w:r>
      <w:r w:rsidRPr="00F84977">
        <w:rPr>
          <w:b/>
          <w:sz w:val="20"/>
          <w:szCs w:val="20"/>
        </w:rPr>
        <w:t xml:space="preserve">configured by gNB, UE can </w:t>
      </w:r>
      <w:r w:rsidRPr="00F84977">
        <w:rPr>
          <w:rFonts w:eastAsia="Arial Unicode MS"/>
          <w:b/>
          <w:sz w:val="20"/>
          <w:szCs w:val="20"/>
        </w:rPr>
        <w:t>report UE</w:t>
      </w:r>
      <w:r w:rsidRPr="00F84977">
        <w:rPr>
          <w:rFonts w:eastAsia="Arial Unicode MS"/>
          <w:b/>
          <w:sz w:val="20"/>
          <w:szCs w:val="20"/>
          <w:vertAlign w:val="subscript"/>
        </w:rPr>
        <w:t>Rx-Tx</w:t>
      </w:r>
      <w:r w:rsidRPr="00F84977">
        <w:rPr>
          <w:rFonts w:eastAsia="Arial Unicode MS"/>
          <w:b/>
          <w:sz w:val="20"/>
          <w:szCs w:val="20"/>
        </w:rPr>
        <w:t xml:space="preserve"> periodically</w:t>
      </w:r>
      <w:r>
        <w:rPr>
          <w:rFonts w:eastAsia="Arial Unicode MS"/>
          <w:b/>
          <w:sz w:val="20"/>
          <w:szCs w:val="20"/>
        </w:rPr>
        <w:t xml:space="preserve">. </w:t>
      </w:r>
    </w:p>
    <w:p w:rsidR="003D1985" w:rsidRPr="00D05881" w:rsidRDefault="00D05881" w:rsidP="00D05881">
      <w:pPr>
        <w:pStyle w:val="af9"/>
        <w:spacing w:beforeLines="50" w:before="120" w:after="100"/>
        <w:ind w:firstLineChars="0" w:firstLine="0"/>
        <w:jc w:val="both"/>
        <w:textAlignment w:val="center"/>
        <w:rPr>
          <w:rFonts w:eastAsiaTheme="minorEastAsia"/>
          <w:b/>
          <w:sz w:val="20"/>
          <w:szCs w:val="20"/>
        </w:rPr>
      </w:pPr>
      <w:r w:rsidRPr="00D05881">
        <w:rPr>
          <w:rFonts w:eastAsia="Arial Unicode MS"/>
          <w:b/>
          <w:sz w:val="20"/>
          <w:szCs w:val="20"/>
        </w:rPr>
        <w:t xml:space="preserve">Proposal 2a: </w:t>
      </w:r>
      <w:r w:rsidR="006B7CCF">
        <w:rPr>
          <w:rFonts w:eastAsia="Arial Unicode MS"/>
          <w:b/>
          <w:sz w:val="20"/>
          <w:szCs w:val="20"/>
        </w:rPr>
        <w:t>T</w:t>
      </w:r>
      <w:r w:rsidRPr="00D05881">
        <w:rPr>
          <w:rFonts w:eastAsia="Arial Unicode MS"/>
          <w:b/>
          <w:sz w:val="20"/>
          <w:szCs w:val="20"/>
        </w:rPr>
        <w:t xml:space="preserve">he </w:t>
      </w:r>
      <w:r w:rsidRPr="00D05881">
        <w:rPr>
          <w:b/>
          <w:sz w:val="20"/>
          <w:szCs w:val="20"/>
        </w:rPr>
        <w:t xml:space="preserve">periodicity for UE RTT report can be provided in either measurement configuration or along with the explicit signaling </w:t>
      </w:r>
      <w:r w:rsidRPr="00D05881">
        <w:rPr>
          <w:rFonts w:hint="eastAsia"/>
          <w:b/>
          <w:sz w:val="20"/>
          <w:szCs w:val="20"/>
        </w:rPr>
        <w:t>for</w:t>
      </w:r>
      <w:r w:rsidRPr="00D05881">
        <w:rPr>
          <w:b/>
          <w:sz w:val="20"/>
          <w:szCs w:val="20"/>
        </w:rPr>
        <w:t xml:space="preserve"> </w:t>
      </w:r>
      <w:r w:rsidRPr="00D05881">
        <w:rPr>
          <w:rFonts w:hint="eastAsia"/>
          <w:b/>
          <w:sz w:val="20"/>
          <w:szCs w:val="20"/>
        </w:rPr>
        <w:t>requesting</w:t>
      </w:r>
      <w:r w:rsidRPr="00D05881">
        <w:rPr>
          <w:b/>
          <w:sz w:val="20"/>
          <w:szCs w:val="20"/>
        </w:rPr>
        <w:t xml:space="preserve"> </w:t>
      </w:r>
      <w:r w:rsidRPr="00D05881">
        <w:rPr>
          <w:rFonts w:hint="eastAsia"/>
          <w:b/>
          <w:sz w:val="20"/>
          <w:szCs w:val="20"/>
        </w:rPr>
        <w:t>UE</w:t>
      </w:r>
      <w:r w:rsidRPr="00D05881">
        <w:rPr>
          <w:b/>
          <w:sz w:val="20"/>
          <w:szCs w:val="20"/>
        </w:rPr>
        <w:t xml:space="preserve"> </w:t>
      </w:r>
      <w:r w:rsidRPr="00D05881">
        <w:rPr>
          <w:rFonts w:hint="eastAsia"/>
          <w:b/>
          <w:sz w:val="20"/>
          <w:szCs w:val="20"/>
        </w:rPr>
        <w:t>RTT</w:t>
      </w:r>
      <w:r w:rsidRPr="00D05881">
        <w:rPr>
          <w:b/>
          <w:sz w:val="20"/>
          <w:szCs w:val="20"/>
        </w:rPr>
        <w:t xml:space="preserve"> </w:t>
      </w:r>
      <w:r w:rsidRPr="00D05881">
        <w:rPr>
          <w:rFonts w:hint="eastAsia"/>
          <w:b/>
          <w:sz w:val="20"/>
          <w:szCs w:val="20"/>
        </w:rPr>
        <w:t>report</w:t>
      </w:r>
      <w:r w:rsidRPr="00D05881">
        <w:rPr>
          <w:b/>
          <w:sz w:val="20"/>
          <w:szCs w:val="20"/>
        </w:rPr>
        <w:t>.</w:t>
      </w:r>
    </w:p>
    <w:p w:rsidR="006B5217" w:rsidRPr="006B5217" w:rsidRDefault="006B5217" w:rsidP="006B5217">
      <w:pPr>
        <w:rPr>
          <w:lang w:val="en-GB" w:eastAsia="sv-SE"/>
        </w:rPr>
      </w:pPr>
    </w:p>
    <w:p w:rsidR="003D1985" w:rsidRDefault="00C154A0">
      <w:pPr>
        <w:pStyle w:val="1"/>
        <w:numPr>
          <w:ilvl w:val="0"/>
          <w:numId w:val="0"/>
        </w:numPr>
        <w:spacing w:before="120" w:after="120"/>
        <w:textAlignment w:val="center"/>
        <w:rPr>
          <w:lang w:val="en-US"/>
        </w:rPr>
      </w:pPr>
      <w:r>
        <w:rPr>
          <w:lang w:val="en-US"/>
        </w:rPr>
        <w:t>References</w:t>
      </w:r>
    </w:p>
    <w:bookmarkEnd w:id="13"/>
    <w:bookmarkEnd w:id="14"/>
    <w:p w:rsidR="003D1985" w:rsidRDefault="00C154A0">
      <w:pPr>
        <w:numPr>
          <w:ilvl w:val="0"/>
          <w:numId w:val="12"/>
        </w:numPr>
        <w:spacing w:beforeLines="10" w:before="24" w:afterLines="10" w:after="24" w:line="264" w:lineRule="auto"/>
        <w:textAlignment w:val="center"/>
        <w:rPr>
          <w:sz w:val="20"/>
          <w:szCs w:val="20"/>
        </w:rPr>
      </w:pP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eastAsia="宋体" w:hint="eastAsia"/>
          <w:sz w:val="20"/>
          <w:szCs w:val="20"/>
        </w:rPr>
        <w:t>.</w:t>
      </w:r>
    </w:p>
    <w:p w:rsidR="003D1985" w:rsidRDefault="003D1985">
      <w:pPr>
        <w:spacing w:beforeLines="10" w:before="24" w:afterLines="10" w:after="24" w:line="264" w:lineRule="auto"/>
        <w:rPr>
          <w:rFonts w:eastAsia="宋体"/>
          <w:sz w:val="20"/>
          <w:szCs w:val="20"/>
        </w:rPr>
      </w:pPr>
    </w:p>
    <w:sectPr w:rsidR="003D19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3C4" w:rsidRDefault="006163C4">
      <w:pPr>
        <w:spacing w:line="240" w:lineRule="auto"/>
      </w:pPr>
      <w:r>
        <w:separator/>
      </w:r>
    </w:p>
  </w:endnote>
  <w:endnote w:type="continuationSeparator" w:id="0">
    <w:p w:rsidR="006163C4" w:rsidRDefault="006163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9F" w:rsidRDefault="004C2D9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9F" w:rsidRDefault="004C2D9F">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9F" w:rsidRDefault="004C2D9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3C4" w:rsidRDefault="006163C4">
      <w:pPr>
        <w:spacing w:line="240" w:lineRule="auto"/>
      </w:pPr>
      <w:r>
        <w:separator/>
      </w:r>
    </w:p>
  </w:footnote>
  <w:footnote w:type="continuationSeparator" w:id="0">
    <w:p w:rsidR="006163C4" w:rsidRDefault="006163C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9F" w:rsidRDefault="004C2D9F">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9F" w:rsidRDefault="004C2D9F">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9F" w:rsidRDefault="004C2D9F">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69BD5A"/>
    <w:multiLevelType w:val="multilevel"/>
    <w:tmpl w:val="B469BD5A"/>
    <w:lvl w:ilvl="0">
      <w:start w:val="1"/>
      <w:numFmt w:val="decimal"/>
      <w:pStyle w:val="1"/>
      <w:lvlText w:val="%1"/>
      <w:lvlJc w:val="left"/>
      <w:pPr>
        <w:ind w:left="432" w:hanging="432"/>
      </w:pPr>
    </w:lvl>
    <w:lvl w:ilvl="1">
      <w:start w:val="1"/>
      <w:numFmt w:val="decimal"/>
      <w:pStyle w:val="2"/>
      <w:lvlText w:val="%1.%2"/>
      <w:lvlJc w:val="left"/>
      <w:pPr>
        <w:tabs>
          <w:tab w:val="left" w:pos="612"/>
        </w:tabs>
        <w:ind w:left="2845" w:hanging="2845"/>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4A622FE"/>
    <w:multiLevelType w:val="singleLevel"/>
    <w:tmpl w:val="F4A622FE"/>
    <w:lvl w:ilvl="0">
      <w:start w:val="1"/>
      <w:numFmt w:val="bullet"/>
      <w:lvlText w:val=""/>
      <w:lvlJc w:val="left"/>
      <w:pPr>
        <w:ind w:left="420" w:hanging="420"/>
      </w:pPr>
      <w:rPr>
        <w:rFonts w:ascii="Wingdings" w:hAnsi="Wingdings" w:hint="default"/>
      </w:rPr>
    </w:lvl>
  </w:abstractNum>
  <w:abstractNum w:abstractNumId="2"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6FD0F5D"/>
    <w:multiLevelType w:val="hybridMultilevel"/>
    <w:tmpl w:val="1450B81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8E9CA4"/>
    <w:multiLevelType w:val="multilevel"/>
    <w:tmpl w:val="568E9CA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1"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2" w15:restartNumberingAfterBreak="0">
    <w:nsid w:val="77734543"/>
    <w:multiLevelType w:val="singleLevel"/>
    <w:tmpl w:val="77734543"/>
    <w:lvl w:ilvl="0">
      <w:start w:val="1"/>
      <w:numFmt w:val="bullet"/>
      <w:lvlText w:val=""/>
      <w:lvlJc w:val="left"/>
      <w:pPr>
        <w:ind w:left="420" w:hanging="420"/>
      </w:pPr>
      <w:rPr>
        <w:rFonts w:ascii="Wingdings" w:hAnsi="Wingdings" w:hint="default"/>
      </w:rPr>
    </w:lvl>
  </w:abstractNum>
  <w:num w:numId="1">
    <w:abstractNumId w:val="0"/>
  </w:num>
  <w:num w:numId="2">
    <w:abstractNumId w:val="4"/>
  </w:num>
  <w:num w:numId="3">
    <w:abstractNumId w:val="5"/>
  </w:num>
  <w:num w:numId="4">
    <w:abstractNumId w:val="8"/>
  </w:num>
  <w:num w:numId="5">
    <w:abstractNumId w:val="7"/>
  </w:num>
  <w:num w:numId="6">
    <w:abstractNumId w:val="9"/>
  </w:num>
  <w:num w:numId="7">
    <w:abstractNumId w:val="10"/>
  </w:num>
  <w:num w:numId="8">
    <w:abstractNumId w:val="11"/>
  </w:num>
  <w:num w:numId="9">
    <w:abstractNumId w:val="2"/>
  </w:num>
  <w:num w:numId="10">
    <w:abstractNumId w:val="1"/>
  </w:num>
  <w:num w:numId="11">
    <w:abstractNumId w:val="12"/>
  </w:num>
  <w:num w:numId="12">
    <w:abstractNumId w:val="3"/>
  </w:num>
  <w:num w:numId="13">
    <w:abstractNumId w:val="0"/>
  </w:num>
  <w:num w:numId="14">
    <w:abstractNumId w:val="0"/>
  </w:num>
  <w:num w:numId="15">
    <w:abstractNumId w:val="0"/>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D7F8CEE"/>
    <w:rsid w:val="9E3DC288"/>
    <w:rsid w:val="B7E7B494"/>
    <w:rsid w:val="BDAF5AB2"/>
    <w:rsid w:val="BDFFCFDC"/>
    <w:rsid w:val="BFF660FF"/>
    <w:rsid w:val="C7FDD643"/>
    <w:rsid w:val="CFFD08C4"/>
    <w:rsid w:val="D3DB67C5"/>
    <w:rsid w:val="DF3FDABD"/>
    <w:rsid w:val="DF958BF1"/>
    <w:rsid w:val="DFCBFBB9"/>
    <w:rsid w:val="E2F2C5B1"/>
    <w:rsid w:val="E9FFCA82"/>
    <w:rsid w:val="F6FFB9E0"/>
    <w:rsid w:val="FB5DBE9A"/>
    <w:rsid w:val="FCFFB5A9"/>
    <w:rsid w:val="FD7D20EF"/>
    <w:rsid w:val="FDF781D0"/>
    <w:rsid w:val="FE1E5234"/>
    <w:rsid w:val="FECFED46"/>
    <w:rsid w:val="FEDF9FB6"/>
    <w:rsid w:val="FEE9668C"/>
    <w:rsid w:val="FEFDE802"/>
    <w:rsid w:val="FF3DFC42"/>
    <w:rsid w:val="FFF71BBF"/>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0E5"/>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29A"/>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5A4"/>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3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70C"/>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AF0"/>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01"/>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427"/>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970"/>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2E5"/>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0B93"/>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77E"/>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670"/>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D42"/>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CD6"/>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39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C7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985"/>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4A2"/>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964"/>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32E"/>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D9F"/>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5D3F"/>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3F5"/>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670"/>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600"/>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6ED8"/>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3C4"/>
    <w:rsid w:val="00616491"/>
    <w:rsid w:val="00616EAD"/>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651"/>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ECC"/>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225"/>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64A"/>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3FB"/>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217"/>
    <w:rsid w:val="006B5538"/>
    <w:rsid w:val="006B5BBF"/>
    <w:rsid w:val="006B62F8"/>
    <w:rsid w:val="006B63C1"/>
    <w:rsid w:val="006B6BFF"/>
    <w:rsid w:val="006B6F94"/>
    <w:rsid w:val="006B719F"/>
    <w:rsid w:val="006B7260"/>
    <w:rsid w:val="006B73D5"/>
    <w:rsid w:val="006B7491"/>
    <w:rsid w:val="006B775B"/>
    <w:rsid w:val="006B7A90"/>
    <w:rsid w:val="006B7B35"/>
    <w:rsid w:val="006B7CCF"/>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779"/>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2E7"/>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3D3"/>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3FA8"/>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A4E"/>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3E4"/>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675"/>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99B"/>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8F9"/>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47"/>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AC6"/>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35"/>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CB9"/>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ADB"/>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4E4"/>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6BC"/>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50"/>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0CD"/>
    <w:rsid w:val="00996288"/>
    <w:rsid w:val="009966AC"/>
    <w:rsid w:val="009966FF"/>
    <w:rsid w:val="009968E0"/>
    <w:rsid w:val="009968E3"/>
    <w:rsid w:val="00996AB6"/>
    <w:rsid w:val="00996B9D"/>
    <w:rsid w:val="009973FE"/>
    <w:rsid w:val="00997508"/>
    <w:rsid w:val="00997636"/>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577"/>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856"/>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1CC"/>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63"/>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CF"/>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072"/>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A2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4CF"/>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4A0"/>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DCB"/>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2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477"/>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4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BF6"/>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88D"/>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B0F"/>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1B3"/>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4CE"/>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881"/>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F2"/>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6AE"/>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626"/>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5CD"/>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A00"/>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6DA"/>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3A8"/>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43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A48"/>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BB"/>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977"/>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725CF"/>
    <w:rsid w:val="09116CBB"/>
    <w:rsid w:val="09126BE3"/>
    <w:rsid w:val="091F1EDC"/>
    <w:rsid w:val="0A0D1879"/>
    <w:rsid w:val="0A213D44"/>
    <w:rsid w:val="0A6572C0"/>
    <w:rsid w:val="0AD35C59"/>
    <w:rsid w:val="0AE7642A"/>
    <w:rsid w:val="0AEE4BFC"/>
    <w:rsid w:val="0B0A4627"/>
    <w:rsid w:val="0B1D5C5E"/>
    <w:rsid w:val="0B737DBB"/>
    <w:rsid w:val="0B9A0641"/>
    <w:rsid w:val="0B9C4929"/>
    <w:rsid w:val="0BB81A0E"/>
    <w:rsid w:val="0BCF0317"/>
    <w:rsid w:val="0BEB5BD2"/>
    <w:rsid w:val="0C7536CC"/>
    <w:rsid w:val="0C7E6C90"/>
    <w:rsid w:val="0D0619EC"/>
    <w:rsid w:val="0D4238F0"/>
    <w:rsid w:val="0DC542D0"/>
    <w:rsid w:val="0DDC54EB"/>
    <w:rsid w:val="0DF96673"/>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54352A"/>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3E81DD8"/>
    <w:rsid w:val="145D71CF"/>
    <w:rsid w:val="14A40A32"/>
    <w:rsid w:val="14D20AD2"/>
    <w:rsid w:val="1519698C"/>
    <w:rsid w:val="15683B2E"/>
    <w:rsid w:val="156976D8"/>
    <w:rsid w:val="15A1698A"/>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9D6387E"/>
    <w:rsid w:val="1A6E0C1B"/>
    <w:rsid w:val="1A7D1191"/>
    <w:rsid w:val="1A886536"/>
    <w:rsid w:val="1ADF03A3"/>
    <w:rsid w:val="1B7A4C29"/>
    <w:rsid w:val="1B9273DB"/>
    <w:rsid w:val="1BAE647A"/>
    <w:rsid w:val="1BB41644"/>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A40719"/>
    <w:rsid w:val="1EDB3096"/>
    <w:rsid w:val="1EDF624B"/>
    <w:rsid w:val="1EEE370A"/>
    <w:rsid w:val="1F026DAE"/>
    <w:rsid w:val="1F3A258D"/>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2F15D98"/>
    <w:rsid w:val="23062764"/>
    <w:rsid w:val="233403D7"/>
    <w:rsid w:val="2372356C"/>
    <w:rsid w:val="23A42ABA"/>
    <w:rsid w:val="23B839C6"/>
    <w:rsid w:val="23C648DD"/>
    <w:rsid w:val="241534A7"/>
    <w:rsid w:val="244C1602"/>
    <w:rsid w:val="24542B26"/>
    <w:rsid w:val="256B1E5E"/>
    <w:rsid w:val="25753AEB"/>
    <w:rsid w:val="25757D1C"/>
    <w:rsid w:val="257B3878"/>
    <w:rsid w:val="25807874"/>
    <w:rsid w:val="25E0288F"/>
    <w:rsid w:val="261B6A5F"/>
    <w:rsid w:val="2647028B"/>
    <w:rsid w:val="2679522B"/>
    <w:rsid w:val="26C54761"/>
    <w:rsid w:val="26E60A3A"/>
    <w:rsid w:val="26FF1536"/>
    <w:rsid w:val="27060BE7"/>
    <w:rsid w:val="27167757"/>
    <w:rsid w:val="27484E33"/>
    <w:rsid w:val="27510987"/>
    <w:rsid w:val="277C07EC"/>
    <w:rsid w:val="27E65043"/>
    <w:rsid w:val="28151073"/>
    <w:rsid w:val="28357FE7"/>
    <w:rsid w:val="286E2B50"/>
    <w:rsid w:val="288F653A"/>
    <w:rsid w:val="28E309D7"/>
    <w:rsid w:val="28E734D7"/>
    <w:rsid w:val="28F95B87"/>
    <w:rsid w:val="2900651C"/>
    <w:rsid w:val="29181460"/>
    <w:rsid w:val="29427562"/>
    <w:rsid w:val="294737D8"/>
    <w:rsid w:val="2956167A"/>
    <w:rsid w:val="299145D8"/>
    <w:rsid w:val="29A240AD"/>
    <w:rsid w:val="29DE0CFC"/>
    <w:rsid w:val="2A072E6D"/>
    <w:rsid w:val="2A4340B0"/>
    <w:rsid w:val="2A78442D"/>
    <w:rsid w:val="2A8E01A9"/>
    <w:rsid w:val="2A95301D"/>
    <w:rsid w:val="2AD23946"/>
    <w:rsid w:val="2B2673D5"/>
    <w:rsid w:val="2B441AD7"/>
    <w:rsid w:val="2B5826F5"/>
    <w:rsid w:val="2B726F63"/>
    <w:rsid w:val="2B7C21D0"/>
    <w:rsid w:val="2BB14489"/>
    <w:rsid w:val="2BB41C88"/>
    <w:rsid w:val="2C092A93"/>
    <w:rsid w:val="2C0C0911"/>
    <w:rsid w:val="2C296497"/>
    <w:rsid w:val="2C471DDE"/>
    <w:rsid w:val="2D481C95"/>
    <w:rsid w:val="2D72510C"/>
    <w:rsid w:val="2DB53D1A"/>
    <w:rsid w:val="2DD81171"/>
    <w:rsid w:val="2E164CFF"/>
    <w:rsid w:val="2E371080"/>
    <w:rsid w:val="2E436C5E"/>
    <w:rsid w:val="2E735597"/>
    <w:rsid w:val="2E95251A"/>
    <w:rsid w:val="2EA04261"/>
    <w:rsid w:val="2EA50FD4"/>
    <w:rsid w:val="2EB4754A"/>
    <w:rsid w:val="2EC55E8F"/>
    <w:rsid w:val="2ECB21F8"/>
    <w:rsid w:val="2EF059F6"/>
    <w:rsid w:val="2F010912"/>
    <w:rsid w:val="2F094088"/>
    <w:rsid w:val="2F3D57EC"/>
    <w:rsid w:val="2F623CD7"/>
    <w:rsid w:val="2F826616"/>
    <w:rsid w:val="2FF33761"/>
    <w:rsid w:val="2FF63D6C"/>
    <w:rsid w:val="300C5164"/>
    <w:rsid w:val="305F19AF"/>
    <w:rsid w:val="30AF6316"/>
    <w:rsid w:val="30D40A4C"/>
    <w:rsid w:val="30DC4BD6"/>
    <w:rsid w:val="30DF1FC9"/>
    <w:rsid w:val="3142020A"/>
    <w:rsid w:val="316E46A1"/>
    <w:rsid w:val="317F5ABA"/>
    <w:rsid w:val="31842D57"/>
    <w:rsid w:val="31996ADF"/>
    <w:rsid w:val="321861CB"/>
    <w:rsid w:val="32756594"/>
    <w:rsid w:val="32892F7E"/>
    <w:rsid w:val="32D33FB7"/>
    <w:rsid w:val="333E425F"/>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3D7339"/>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C6B64"/>
    <w:rsid w:val="3ADCBBCA"/>
    <w:rsid w:val="3ADF318D"/>
    <w:rsid w:val="3B0C76AD"/>
    <w:rsid w:val="3B213E5A"/>
    <w:rsid w:val="3BD666CE"/>
    <w:rsid w:val="3C570964"/>
    <w:rsid w:val="3C5E18FC"/>
    <w:rsid w:val="3CB44305"/>
    <w:rsid w:val="3D483E11"/>
    <w:rsid w:val="3D5F3875"/>
    <w:rsid w:val="3D72668D"/>
    <w:rsid w:val="3D82476C"/>
    <w:rsid w:val="3D993CDA"/>
    <w:rsid w:val="3DA325B2"/>
    <w:rsid w:val="3DBB5984"/>
    <w:rsid w:val="3DE349E6"/>
    <w:rsid w:val="3DEB10E3"/>
    <w:rsid w:val="3DF702B7"/>
    <w:rsid w:val="3DFFACA7"/>
    <w:rsid w:val="3E003699"/>
    <w:rsid w:val="3E557C88"/>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02EF5"/>
    <w:rsid w:val="409A75E8"/>
    <w:rsid w:val="40B536F2"/>
    <w:rsid w:val="40F30639"/>
    <w:rsid w:val="40F80976"/>
    <w:rsid w:val="40FC09FF"/>
    <w:rsid w:val="414204A1"/>
    <w:rsid w:val="415F20A5"/>
    <w:rsid w:val="41935D9A"/>
    <w:rsid w:val="41994DC6"/>
    <w:rsid w:val="41BB697E"/>
    <w:rsid w:val="424647E0"/>
    <w:rsid w:val="42DB482E"/>
    <w:rsid w:val="430A6648"/>
    <w:rsid w:val="431E262D"/>
    <w:rsid w:val="4326763F"/>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9111F7"/>
    <w:rsid w:val="47A417C5"/>
    <w:rsid w:val="47B42D68"/>
    <w:rsid w:val="47D385FD"/>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DFC1942"/>
    <w:rsid w:val="4E0C2BBD"/>
    <w:rsid w:val="4E350222"/>
    <w:rsid w:val="4E7D63B1"/>
    <w:rsid w:val="4E8526C9"/>
    <w:rsid w:val="4E9661D3"/>
    <w:rsid w:val="4EF27E9F"/>
    <w:rsid w:val="4F06139F"/>
    <w:rsid w:val="4F7351F3"/>
    <w:rsid w:val="4FD46596"/>
    <w:rsid w:val="4FF326D4"/>
    <w:rsid w:val="50383603"/>
    <w:rsid w:val="505C6E12"/>
    <w:rsid w:val="50956B3A"/>
    <w:rsid w:val="50EA7D5B"/>
    <w:rsid w:val="511E3186"/>
    <w:rsid w:val="512C01CE"/>
    <w:rsid w:val="512E0800"/>
    <w:rsid w:val="51404505"/>
    <w:rsid w:val="516B51B2"/>
    <w:rsid w:val="51782EBE"/>
    <w:rsid w:val="51C475BE"/>
    <w:rsid w:val="52124F4F"/>
    <w:rsid w:val="52173D59"/>
    <w:rsid w:val="526B1011"/>
    <w:rsid w:val="52A14A4F"/>
    <w:rsid w:val="52B2509C"/>
    <w:rsid w:val="53080250"/>
    <w:rsid w:val="531628F9"/>
    <w:rsid w:val="534060D6"/>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514070"/>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1F307B"/>
    <w:rsid w:val="5C4C42D8"/>
    <w:rsid w:val="5C56570F"/>
    <w:rsid w:val="5C5E6531"/>
    <w:rsid w:val="5C734C57"/>
    <w:rsid w:val="5CBD419C"/>
    <w:rsid w:val="5CF937E8"/>
    <w:rsid w:val="5D0001EE"/>
    <w:rsid w:val="5D1B25D1"/>
    <w:rsid w:val="5DA47EB4"/>
    <w:rsid w:val="5E45132B"/>
    <w:rsid w:val="5E78760D"/>
    <w:rsid w:val="5F031EA7"/>
    <w:rsid w:val="5F0B233D"/>
    <w:rsid w:val="5F366FF3"/>
    <w:rsid w:val="5F67277F"/>
    <w:rsid w:val="5F7E9C3E"/>
    <w:rsid w:val="5FDD602F"/>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9776D5"/>
    <w:rsid w:val="63B17CB6"/>
    <w:rsid w:val="63D5569D"/>
    <w:rsid w:val="63DF1FC4"/>
    <w:rsid w:val="64A61339"/>
    <w:rsid w:val="64AC2F64"/>
    <w:rsid w:val="64BB3775"/>
    <w:rsid w:val="64BE14A2"/>
    <w:rsid w:val="652505C7"/>
    <w:rsid w:val="65531423"/>
    <w:rsid w:val="65651E7C"/>
    <w:rsid w:val="656D105F"/>
    <w:rsid w:val="6591695B"/>
    <w:rsid w:val="659768E8"/>
    <w:rsid w:val="65B228BF"/>
    <w:rsid w:val="65D50280"/>
    <w:rsid w:val="662D198B"/>
    <w:rsid w:val="6636540D"/>
    <w:rsid w:val="66824497"/>
    <w:rsid w:val="66893AB2"/>
    <w:rsid w:val="66C253B9"/>
    <w:rsid w:val="66E94E8D"/>
    <w:rsid w:val="66EB3059"/>
    <w:rsid w:val="66F17846"/>
    <w:rsid w:val="67B10006"/>
    <w:rsid w:val="67E7796D"/>
    <w:rsid w:val="68405970"/>
    <w:rsid w:val="68A7077B"/>
    <w:rsid w:val="68D518BE"/>
    <w:rsid w:val="68D60D24"/>
    <w:rsid w:val="68DE6693"/>
    <w:rsid w:val="68E91C95"/>
    <w:rsid w:val="69211D77"/>
    <w:rsid w:val="69286C3C"/>
    <w:rsid w:val="692D768A"/>
    <w:rsid w:val="692F51EF"/>
    <w:rsid w:val="698D77C7"/>
    <w:rsid w:val="69A53EA8"/>
    <w:rsid w:val="69B8294C"/>
    <w:rsid w:val="69DF690F"/>
    <w:rsid w:val="6A6E5C18"/>
    <w:rsid w:val="6AA91F79"/>
    <w:rsid w:val="6AE977CE"/>
    <w:rsid w:val="6B5B3784"/>
    <w:rsid w:val="6B83034F"/>
    <w:rsid w:val="6B8B6B86"/>
    <w:rsid w:val="6B906C91"/>
    <w:rsid w:val="6BB4691C"/>
    <w:rsid w:val="6BBD5211"/>
    <w:rsid w:val="6C024534"/>
    <w:rsid w:val="6C200512"/>
    <w:rsid w:val="6C2712AE"/>
    <w:rsid w:val="6C7F4A7D"/>
    <w:rsid w:val="6C9B4CCC"/>
    <w:rsid w:val="6CEF2DC8"/>
    <w:rsid w:val="6D1A6E88"/>
    <w:rsid w:val="6D261EAC"/>
    <w:rsid w:val="6D2B237C"/>
    <w:rsid w:val="6D331CD1"/>
    <w:rsid w:val="6D6B7DDB"/>
    <w:rsid w:val="6D7A1B4D"/>
    <w:rsid w:val="6D955E74"/>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054799"/>
    <w:rsid w:val="724A0587"/>
    <w:rsid w:val="724F4741"/>
    <w:rsid w:val="725D7D85"/>
    <w:rsid w:val="72824496"/>
    <w:rsid w:val="72851934"/>
    <w:rsid w:val="728A5C99"/>
    <w:rsid w:val="73096A16"/>
    <w:rsid w:val="730A6F60"/>
    <w:rsid w:val="73520E54"/>
    <w:rsid w:val="73573598"/>
    <w:rsid w:val="73641FAD"/>
    <w:rsid w:val="736E3217"/>
    <w:rsid w:val="73FA2F75"/>
    <w:rsid w:val="742475BB"/>
    <w:rsid w:val="74475B90"/>
    <w:rsid w:val="74524688"/>
    <w:rsid w:val="745E00FB"/>
    <w:rsid w:val="746BBF69"/>
    <w:rsid w:val="746D7A7E"/>
    <w:rsid w:val="749F1E28"/>
    <w:rsid w:val="74AD1B82"/>
    <w:rsid w:val="74B86241"/>
    <w:rsid w:val="74BE1A21"/>
    <w:rsid w:val="74ED6881"/>
    <w:rsid w:val="75086051"/>
    <w:rsid w:val="75221B2B"/>
    <w:rsid w:val="75AB4582"/>
    <w:rsid w:val="75AB7988"/>
    <w:rsid w:val="75EB4384"/>
    <w:rsid w:val="76206BFA"/>
    <w:rsid w:val="76DA2F9C"/>
    <w:rsid w:val="76E6F524"/>
    <w:rsid w:val="770A7080"/>
    <w:rsid w:val="770E0455"/>
    <w:rsid w:val="771547AD"/>
    <w:rsid w:val="773B07A7"/>
    <w:rsid w:val="7753009C"/>
    <w:rsid w:val="7777FA5F"/>
    <w:rsid w:val="7778531E"/>
    <w:rsid w:val="77824975"/>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3F11B0"/>
    <w:rsid w:val="7B4E236A"/>
    <w:rsid w:val="7B837A1D"/>
    <w:rsid w:val="7BE80373"/>
    <w:rsid w:val="7C296691"/>
    <w:rsid w:val="7C46560E"/>
    <w:rsid w:val="7C98620C"/>
    <w:rsid w:val="7CAC31DF"/>
    <w:rsid w:val="7CB72C32"/>
    <w:rsid w:val="7CFBE2BF"/>
    <w:rsid w:val="7D760599"/>
    <w:rsid w:val="7D787ECC"/>
    <w:rsid w:val="7DA2666F"/>
    <w:rsid w:val="7DC5313D"/>
    <w:rsid w:val="7DDAC701"/>
    <w:rsid w:val="7E1B5F99"/>
    <w:rsid w:val="7E1C324B"/>
    <w:rsid w:val="7E1E5E0F"/>
    <w:rsid w:val="7E4726DC"/>
    <w:rsid w:val="7E524B0D"/>
    <w:rsid w:val="7E533CED"/>
    <w:rsid w:val="7E5E0A43"/>
    <w:rsid w:val="7E7D34F6"/>
    <w:rsid w:val="7E7F1058"/>
    <w:rsid w:val="7EE92500"/>
    <w:rsid w:val="7EEB0D7C"/>
    <w:rsid w:val="7EF74A9A"/>
    <w:rsid w:val="7F21785D"/>
    <w:rsid w:val="7F73660C"/>
    <w:rsid w:val="7F92465F"/>
    <w:rsid w:val="7F98638E"/>
    <w:rsid w:val="7FEFB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68EAAB-9F6A-4C58-A1EB-A4C56E018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8"/>
    <w:qFormat/>
    <w:pPr>
      <w:numPr>
        <w:numId w:val="2"/>
      </w:numPr>
      <w:tabs>
        <w:tab w:val="clear" w:pos="5557"/>
        <w:tab w:val="left" w:pos="1701"/>
      </w:tabs>
      <w:overflowPunct w:val="0"/>
      <w:autoSpaceDE w:val="0"/>
      <w:autoSpaceDN w:val="0"/>
      <w:adjustRightInd w:val="0"/>
      <w:spacing w:after="120"/>
      <w:ind w:left="720" w:hanging="360"/>
      <w:textAlignment w:val="baseline"/>
    </w:pPr>
    <w:rPr>
      <w:rFonts w:ascii="Arial" w:eastAsia="等线" w:hAnsi="Arial"/>
      <w:b/>
      <w:bCs/>
      <w:sz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numPr>
        <w:numId w:val="4"/>
      </w:numPr>
      <w:tabs>
        <w:tab w:val="clear" w:pos="5557"/>
      </w:tabs>
      <w:overflowPunct/>
      <w:autoSpaceDE/>
      <w:autoSpaceDN/>
      <w:adjustRightInd/>
      <w:ind w:left="1701" w:hanging="1701"/>
      <w:textAlignment w:val="auto"/>
    </w:pPr>
    <w:rPr>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40">
    <w:name w:val="修订4"/>
    <w:hidden/>
    <w:uiPriority w:val="99"/>
    <w:semiHidden/>
    <w:qFormat/>
    <w:rPr>
      <w:rFonts w:eastAsia="Batang"/>
      <w:sz w:val="22"/>
      <w:szCs w:val="22"/>
    </w:rPr>
  </w:style>
  <w:style w:type="paragraph" w:customStyle="1" w:styleId="50">
    <w:name w:val="修订5"/>
    <w:hidden/>
    <w:uiPriority w:val="99"/>
    <w:semiHidden/>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1406</Words>
  <Characters>8015</Characters>
  <Application>Microsoft Office Word</Application>
  <DocSecurity>0</DocSecurity>
  <Lines>66</Lines>
  <Paragraphs>18</Paragraphs>
  <ScaleCrop>false</ScaleCrop>
  <Company/>
  <LinksUpToDate>false</LinksUpToDate>
  <CharactersWithSpaces>9403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ZTE-Ting</cp:lastModifiedBy>
  <cp:revision>14</cp:revision>
  <dcterms:created xsi:type="dcterms:W3CDTF">2022-01-12T01:46:00Z</dcterms:created>
  <dcterms:modified xsi:type="dcterms:W3CDTF">2022-02-14T23:10:00Z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